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sdt>
      <w:sdtPr>
        <w:id w:val="-384644699"/>
        <w:docPartObj>
          <w:docPartGallery w:val="Cover Pages"/>
          <w:docPartUnique/>
        </w:docPartObj>
      </w:sdtPr>
      <w:sdtEndPr>
        <w:rPr>
          <w:rFonts w:eastAsiaTheme="minorEastAsia"/>
          <w:lang w:eastAsia="fr-FR"/>
        </w:rPr>
      </w:sdtEndPr>
      <w:sdtContent>
        <w:p w:rsidR="00541A1B" w:rsidRDefault="00541A1B" w:rsidP="00FE0CD8">
          <w:pPr>
            <w:pStyle w:val="En-tte"/>
            <w:tabs>
              <w:tab w:val="clear" w:pos="4536"/>
              <w:tab w:val="clear" w:pos="9072"/>
            </w:tabs>
            <w:spacing w:after="160" w:line="259" w:lineRule="auto"/>
          </w:pPr>
          <w:r>
            <w:rPr>
              <w:noProof/>
              <w:lang w:eastAsia="fr-FR"/>
            </w:rPr>
            <mc:AlternateContent>
              <mc:Choice Requires="wps">
                <w:drawing>
                  <wp:anchor distT="0" distB="0" distL="114300" distR="114300" simplePos="0" relativeHeight="251663360" behindDoc="0" locked="0" layoutInCell="0" allowOverlap="1" wp14:anchorId="49EAC0EA" wp14:editId="4DF7A228">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15875" b="2476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accent2"/>
                            </a:solidFill>
                            <a:ln w="19050">
                              <a:solidFill>
                                <a:schemeClr val="accent2"/>
                              </a:solidFill>
                              <a:miter lim="800000"/>
                              <a:headEnd/>
                              <a:tailEnd/>
                            </a:ln>
                          </wps:spPr>
                          <wps:txbx>
                            <w:txbxContent>
                              <w:p w:rsidR="00541A1B" w:rsidRPr="00FE0CD8" w:rsidRDefault="00FE0CD8" w:rsidP="00FE0CD8">
                                <w:pPr>
                                  <w:pStyle w:val="Sansinterligne"/>
                                  <w:jc w:val="center"/>
                                  <w:rPr>
                                    <w:rFonts w:ascii="Arial Black" w:hAnsi="Arial Black"/>
                                    <w:color w:val="FFFFFF" w:themeColor="background1"/>
                                    <w:sz w:val="52"/>
                                    <w:szCs w:val="52"/>
                                  </w:rPr>
                                </w:pPr>
                                <w:sdt>
                                  <w:sdtPr>
                                    <w:rPr>
                                      <w:rFonts w:ascii="Arial Black" w:eastAsiaTheme="minorHAnsi" w:hAnsi="Arial Black"/>
                                      <w:color w:val="FFFFFF" w:themeColor="background1"/>
                                      <w:sz w:val="52"/>
                                      <w:szCs w:val="52"/>
                                      <w:shd w:val="clear" w:color="auto" w:fill="0F304D" w:themeFill="accent2"/>
                                      <w:lang w:eastAsia="en-US"/>
                                    </w:rPr>
                                    <w:alias w:val="Titre"/>
                                    <w:id w:val="-1074198558"/>
                                    <w:dataBinding w:prefixMappings="xmlns:ns0='http://schemas.openxmlformats.org/package/2006/metadata/core-properties' xmlns:ns1='http://purl.org/dc/elements/1.1/'" w:xpath="/ns0:coreProperties[1]/ns1:title[1]" w:storeItemID="{6C3C8BC8-F283-45AE-878A-BAB7291924A1}"/>
                                    <w:text/>
                                  </w:sdtPr>
                                  <w:sdtContent>
                                    <w:r>
                                      <w:rPr>
                                        <w:rFonts w:ascii="Arial Black" w:eastAsiaTheme="minorHAnsi" w:hAnsi="Arial Black"/>
                                        <w:color w:val="FFFFFF" w:themeColor="background1"/>
                                        <w:sz w:val="52"/>
                                        <w:szCs w:val="52"/>
                                        <w:shd w:val="clear" w:color="auto" w:fill="0F304D" w:themeFill="accent2"/>
                                        <w:lang w:eastAsia="en-US"/>
                                      </w:rPr>
                                      <w:t xml:space="preserve">Autorisation d’Intervention à </w:t>
                                    </w:r>
                                    <w:r w:rsidRPr="00FE0CD8">
                                      <w:rPr>
                                        <w:rFonts w:ascii="Arial Black" w:eastAsiaTheme="minorHAnsi" w:hAnsi="Arial Black"/>
                                        <w:color w:val="FFFFFF" w:themeColor="background1"/>
                                        <w:sz w:val="52"/>
                                        <w:szCs w:val="52"/>
                                        <w:shd w:val="clear" w:color="auto" w:fill="0F304D" w:themeFill="accent2"/>
                                        <w:lang w:eastAsia="en-US"/>
                                      </w:rPr>
                                      <w:t>P</w:t>
                                    </w:r>
                                    <w:r>
                                      <w:rPr>
                                        <w:rFonts w:ascii="Arial Black" w:eastAsiaTheme="minorHAnsi" w:hAnsi="Arial Black"/>
                                        <w:color w:val="FFFFFF" w:themeColor="background1"/>
                                        <w:sz w:val="52"/>
                                        <w:szCs w:val="52"/>
                                        <w:shd w:val="clear" w:color="auto" w:fill="0F304D" w:themeFill="accent2"/>
                                        <w:lang w:eastAsia="en-US"/>
                                      </w:rPr>
                                      <w:t>roximité des Réseaux</w:t>
                                    </w:r>
                                    <w:r w:rsidRPr="00FE0CD8">
                                      <w:rPr>
                                        <w:rFonts w:ascii="Arial Black" w:eastAsiaTheme="minorHAnsi" w:hAnsi="Arial Black"/>
                                        <w:color w:val="FFFFFF" w:themeColor="background1"/>
                                        <w:sz w:val="52"/>
                                        <w:szCs w:val="52"/>
                                        <w:shd w:val="clear" w:color="auto" w:fill="0F304D" w:themeFill="accent2"/>
                                        <w:lang w:eastAsia="en-US"/>
                                      </w:rPr>
                                      <w:t xml:space="preserve"> (AIPR)</w:t>
                                    </w:r>
                                  </w:sdtContent>
                                </w:sdt>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9EAC0EA" id="Rectangle 16" o:spid="_x0000_s1026" style="position:absolute;margin-left:0;margin-top:0;width:548.85pt;height:50.4pt;z-index:251663360;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" o:allowincell="f" fillcolor="#0f304d [3205]" strokecolor="#0f304d [3205]" strokeweight="1.5pt">
                    <v:textbox style="mso-fit-shape-to-text:t" inset="14.4pt,,14.4pt">
                      <w:txbxContent>
                        <w:p w:rsidR="00541A1B" w:rsidRPr="00FE0CD8" w:rsidRDefault="00FE0CD8" w:rsidP="00FE0CD8">
                          <w:pPr>
                            <w:pStyle w:val="Sansinterligne"/>
                            <w:jc w:val="center"/>
                            <w:rPr>
                              <w:rFonts w:ascii="Arial Black" w:hAnsi="Arial Black"/>
                              <w:color w:val="FFFFFF" w:themeColor="background1"/>
                              <w:sz w:val="52"/>
                              <w:szCs w:val="52"/>
                            </w:rPr>
                          </w:pPr>
                          <w:sdt>
                            <w:sdtPr>
                              <w:rPr>
                                <w:rFonts w:ascii="Arial Black" w:eastAsiaTheme="minorHAnsi" w:hAnsi="Arial Black"/>
                                <w:color w:val="FFFFFF" w:themeColor="background1"/>
                                <w:sz w:val="52"/>
                                <w:szCs w:val="52"/>
                                <w:shd w:val="clear" w:color="auto" w:fill="0F304D" w:themeFill="accent2"/>
                                <w:lang w:eastAsia="en-US"/>
                              </w:rPr>
                              <w:alias w:val="Titre"/>
                              <w:id w:val="-1074198558"/>
                              <w:dataBinding w:prefixMappings="xmlns:ns0='http://schemas.openxmlformats.org/package/2006/metadata/core-properties' xmlns:ns1='http://purl.org/dc/elements/1.1/'" w:xpath="/ns0:coreProperties[1]/ns1:title[1]" w:storeItemID="{6C3C8BC8-F283-45AE-878A-BAB7291924A1}"/>
                              <w:text/>
                            </w:sdtPr>
                            <w:sdtContent>
                              <w:r>
                                <w:rPr>
                                  <w:rFonts w:ascii="Arial Black" w:eastAsiaTheme="minorHAnsi" w:hAnsi="Arial Black"/>
                                  <w:color w:val="FFFFFF" w:themeColor="background1"/>
                                  <w:sz w:val="52"/>
                                  <w:szCs w:val="52"/>
                                  <w:shd w:val="clear" w:color="auto" w:fill="0F304D" w:themeFill="accent2"/>
                                  <w:lang w:eastAsia="en-US"/>
                                </w:rPr>
                                <w:t xml:space="preserve">Autorisation d’Intervention à </w:t>
                              </w:r>
                              <w:r w:rsidRPr="00FE0CD8">
                                <w:rPr>
                                  <w:rFonts w:ascii="Arial Black" w:eastAsiaTheme="minorHAnsi" w:hAnsi="Arial Black"/>
                                  <w:color w:val="FFFFFF" w:themeColor="background1"/>
                                  <w:sz w:val="52"/>
                                  <w:szCs w:val="52"/>
                                  <w:shd w:val="clear" w:color="auto" w:fill="0F304D" w:themeFill="accent2"/>
                                  <w:lang w:eastAsia="en-US"/>
                                </w:rPr>
                                <w:t>P</w:t>
                              </w:r>
                              <w:r>
                                <w:rPr>
                                  <w:rFonts w:ascii="Arial Black" w:eastAsiaTheme="minorHAnsi" w:hAnsi="Arial Black"/>
                                  <w:color w:val="FFFFFF" w:themeColor="background1"/>
                                  <w:sz w:val="52"/>
                                  <w:szCs w:val="52"/>
                                  <w:shd w:val="clear" w:color="auto" w:fill="0F304D" w:themeFill="accent2"/>
                                  <w:lang w:eastAsia="en-US"/>
                                </w:rPr>
                                <w:t>roximité des Réseaux</w:t>
                              </w:r>
                              <w:r w:rsidRPr="00FE0CD8">
                                <w:rPr>
                                  <w:rFonts w:ascii="Arial Black" w:eastAsiaTheme="minorHAnsi" w:hAnsi="Arial Black"/>
                                  <w:color w:val="FFFFFF" w:themeColor="background1"/>
                                  <w:sz w:val="52"/>
                                  <w:szCs w:val="52"/>
                                  <w:shd w:val="clear" w:color="auto" w:fill="0F304D" w:themeFill="accent2"/>
                                  <w:lang w:eastAsia="en-US"/>
                                </w:rPr>
                                <w:t xml:space="preserve"> (AIPR)</w:t>
                              </w:r>
                            </w:sdtContent>
                          </w:sdt>
                        </w:p>
                      </w:txbxContent>
                    </v:textbox>
                    <w10:wrap anchorx="page" anchory="page"/>
                  </v:rect>
                </w:pict>
              </mc:Fallback>
            </mc:AlternateContent>
          </w:r>
        </w:p>
        <w:p w:rsidR="00541A1B" w:rsidRPr="00FE0CD8" w:rsidRDefault="00941C5E" w:rsidP="00FE0CD8">
          <w:pPr>
            <w:pStyle w:val="En-tte"/>
            <w:tabs>
              <w:tab w:val="clear" w:pos="4536"/>
              <w:tab w:val="clear" w:pos="9072"/>
            </w:tabs>
            <w:spacing w:after="160" w:line="259" w:lineRule="auto"/>
            <w:rPr>
              <w:rFonts w:eastAsiaTheme="minorEastAsia"/>
              <w:lang w:eastAsia="fr-FR"/>
            </w:rPr>
          </w:pPr>
          <w:r w:rsidRPr="00135CC6">
            <w:rPr>
              <w:rFonts w:eastAsiaTheme="minorEastAsia"/>
              <w:noProof/>
              <w:lang w:eastAsia="fr-FR"/>
            </w:rPr>
            <mc:AlternateContent>
              <mc:Choice Requires="wps">
                <w:drawing>
                  <wp:anchor distT="45720" distB="45720" distL="114300" distR="114300" simplePos="0" relativeHeight="251670528" behindDoc="0" locked="0" layoutInCell="1" allowOverlap="1" wp14:anchorId="3014A782" wp14:editId="236AEAF0">
                    <wp:simplePos x="0" y="0"/>
                    <wp:positionH relativeFrom="margin">
                      <wp:align>left</wp:align>
                    </wp:positionH>
                    <wp:positionV relativeFrom="paragraph">
                      <wp:posOffset>6759803</wp:posOffset>
                    </wp:positionV>
                    <wp:extent cx="3943350" cy="1438275"/>
                    <wp:effectExtent l="0" t="0" r="19050" b="2857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438275"/>
                            </a:xfrm>
                            <a:prstGeom prst="rect">
                              <a:avLst/>
                            </a:prstGeom>
                            <a:solidFill>
                              <a:srgbClr val="FFFFFF"/>
                            </a:solidFill>
                            <a:ln w="9525">
                              <a:solidFill>
                                <a:srgbClr val="000000"/>
                              </a:solidFill>
                              <a:miter lim="800000"/>
                              <a:headEnd/>
                              <a:tailEnd/>
                            </a:ln>
                          </wps:spPr>
                          <wps:txbx>
                            <w:txbxContent>
                              <w:p w:rsidR="00941C5E" w:rsidRPr="00FE0CD8" w:rsidRDefault="00941C5E" w:rsidP="00941C5E">
                                <w:pPr>
                                  <w:rPr>
                                    <w:rFonts w:ascii="Arial" w:hAnsi="Arial" w:cs="Arial"/>
                                    <w:sz w:val="40"/>
                                    <w:szCs w:val="40"/>
                                  </w:rPr>
                                </w:pPr>
                                <w:r w:rsidRPr="00FE0CD8">
                                  <w:rPr>
                                    <w:rFonts w:ascii="Arial" w:hAnsi="Arial" w:cs="Arial"/>
                                    <w:sz w:val="40"/>
                                    <w:szCs w:val="40"/>
                                  </w:rPr>
                                  <w:t xml:space="preserve">Nom de la collectivité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14A782" id="_x0000_t202" coordsize="21600,21600" o:spt="202" path="m,l,21600r21600,l21600,xe">
                    <v:stroke joinstyle="miter"/>
                    <v:path gradientshapeok="t" o:connecttype="rect"/>
                  </v:shapetype>
                  <v:shape id="Zone de texte 2" o:spid="_x0000_s1027" type="#_x0000_t202" style="position:absolute;margin-left:0;margin-top:532.25pt;width:310.5pt;height:113.2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">
                    <v:textbox>
                      <w:txbxContent>
                        <w:p w:rsidR="00941C5E" w:rsidRPr="00FE0CD8" w:rsidRDefault="00941C5E" w:rsidP="00941C5E">
                          <w:pPr>
                            <w:rPr>
                              <w:rFonts w:ascii="Arial" w:hAnsi="Arial" w:cs="Arial"/>
                              <w:sz w:val="40"/>
                              <w:szCs w:val="40"/>
                            </w:rPr>
                          </w:pPr>
                          <w:r w:rsidRPr="00FE0CD8">
                            <w:rPr>
                              <w:rFonts w:ascii="Arial" w:hAnsi="Arial" w:cs="Arial"/>
                              <w:sz w:val="40"/>
                              <w:szCs w:val="40"/>
                            </w:rPr>
                            <w:t xml:space="preserve">Nom de la collectivité : </w:t>
                          </w:r>
                        </w:p>
                      </w:txbxContent>
                    </v:textbox>
                    <w10:wrap type="square" anchorx="margin"/>
                  </v:shape>
                </w:pict>
              </mc:Fallback>
            </mc:AlternateContent>
          </w:r>
          <w:r w:rsidR="00741272">
            <w:rPr>
              <w:noProof/>
              <w:lang w:eastAsia="fr-FR"/>
            </w:rPr>
            <mc:AlternateContent>
              <mc:Choice Requires="wpg">
                <w:drawing>
                  <wp:anchor distT="0" distB="0" distL="114300" distR="114300" simplePos="0" relativeHeight="251661312" behindDoc="0" locked="0" layoutInCell="1" allowOverlap="1" wp14:anchorId="57C3C251" wp14:editId="0C02820F">
                    <wp:simplePos x="0" y="0"/>
                    <wp:positionH relativeFrom="page">
                      <wp:posOffset>4455795</wp:posOffset>
                    </wp:positionH>
                    <wp:positionV relativeFrom="page">
                      <wp:posOffset>1200785</wp:posOffset>
                    </wp:positionV>
                    <wp:extent cx="3103245" cy="10058400"/>
                    <wp:effectExtent l="0" t="0" r="1905" b="0"/>
                    <wp:wrapNone/>
                    <wp:docPr id="453" name="Groupe 453"/>
                    <wp:cNvGraphicFramePr/>
                    <a:graphic xmlns:a="http://schemas.openxmlformats.org/drawingml/2006/main">
                      <a:graphicData uri="http://schemas.microsoft.com/office/word/2010/wordprocessingGroup">
                        <wpg:wgp>
                          <wpg:cNvGrpSpPr/>
                          <wpg:grpSpPr>
                            <a:xfrm>
                              <a:off x="0" y="0"/>
                              <a:ext cx="3103245" cy="10058400"/>
                              <a:chOff x="27296" y="1200980"/>
                              <a:chExt cx="3103315" cy="10058423"/>
                            </a:xfrm>
                          </wpg:grpSpPr>
                          <wps:wsp>
                            <wps:cNvPr id="459" name="Rectangle 459" descr="Light vertical"/>
                            <wps:cNvSpPr>
                              <a:spLocks noChangeArrowheads="1"/>
                            </wps:cNvSpPr>
                            <wps:spPr bwMode="auto">
                              <a:xfrm>
                                <a:off x="27296" y="120098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58811" y="1201003"/>
                                <a:ext cx="2971800" cy="1005840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F9F18" id="Groupe 453" o:spid="_x0000_s1026" style="position:absolute;margin-left:350.85pt;margin-top:94.55pt;width:244.35pt;height:11in;z-index:251661312;mso-position-horizontal-relative:page;mso-position-vertical-relative:page" coordorigin="272,12009" coordsize="31033,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">
                    <v:rect id="Rectangle 459" o:spid="_x0000_s1027" alt="Light vertical" style="position:absolute;left:272;top:12009;width:1386;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cfc6bc [1945]" stroked="f" strokecolor="white" strokeweight="1pt">
                      <v:fill r:id="rId8" o:title="" opacity="52428f" color2="white [3212]" o:opacity2="52428f" type="pattern"/>
                      <v:shadow color="#d8d8d8" offset="3pt,3pt"/>
                    </v:rect>
                    <v:rect id="Rectangle 460" o:spid="_x0000_s1028" style="position:absolute;left:1588;top:12010;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" fillcolor="#86c0c9 [3206]" stroked="f" strokecolor="#d8d8d8"/>
                    <w10:wrap anchorx="page" anchory="page"/>
                  </v:group>
                </w:pict>
              </mc:Fallback>
            </mc:AlternateContent>
          </w:r>
          <w:r w:rsidR="00E21DE4" w:rsidRPr="00FE0CD8">
            <w:rPr>
              <w:rFonts w:eastAsiaTheme="minorEastAsia"/>
              <w:noProof/>
              <w:lang w:eastAsia="fr-FR"/>
            </w:rPr>
            <mc:AlternateContent>
              <mc:Choice Requires="wps">
                <w:drawing>
                  <wp:anchor distT="45720" distB="45720" distL="114300" distR="114300" simplePos="0" relativeHeight="251668480" behindDoc="0" locked="0" layoutInCell="1" allowOverlap="1" wp14:anchorId="57442AC0" wp14:editId="6D28F584">
                    <wp:simplePos x="0" y="0"/>
                    <wp:positionH relativeFrom="column">
                      <wp:posOffset>-60325</wp:posOffset>
                    </wp:positionH>
                    <wp:positionV relativeFrom="paragraph">
                      <wp:posOffset>4151630</wp:posOffset>
                    </wp:positionV>
                    <wp:extent cx="3712845" cy="2059305"/>
                    <wp:effectExtent l="0" t="0" r="20955" b="1714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845" cy="2059305"/>
                            </a:xfrm>
                            <a:prstGeom prst="rect">
                              <a:avLst/>
                            </a:prstGeom>
                            <a:solidFill>
                              <a:srgbClr val="FFFFFF"/>
                            </a:solidFill>
                            <a:ln w="9525">
                              <a:solidFill>
                                <a:srgbClr val="000000"/>
                              </a:solidFill>
                              <a:miter lim="800000"/>
                              <a:headEnd/>
                              <a:tailEnd/>
                            </a:ln>
                          </wps:spPr>
                          <wps:txbx>
                            <w:txbxContent>
                              <w:p w:rsidR="00E21DE4" w:rsidRDefault="00E21DE4">
                                <w:r w:rsidRPr="00E21DE4">
                                  <w:rPr>
                                    <w:noProof/>
                                    <w:lang w:eastAsia="fr-FR"/>
                                  </w:rPr>
                                  <w:drawing>
                                    <wp:inline distT="0" distB="0" distL="0" distR="0" wp14:anchorId="5C3735F8" wp14:editId="4D1E40BC">
                                      <wp:extent cx="3600450" cy="196725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2418" cy="20065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027A0" id="_x0000_s1028" type="#_x0000_t202" style="position:absolute;margin-left:-4.75pt;margin-top:326.9pt;width:292.35pt;height:162.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">
                    <v:textbox>
                      <w:txbxContent>
                        <w:p w:rsidR="00E21DE4" w:rsidRDefault="00E21DE4">
                          <w:r w:rsidRPr="00E21DE4">
                            <w:rPr>
                              <w:noProof/>
                              <w:lang w:eastAsia="fr-FR"/>
                            </w:rPr>
                            <w:drawing>
                              <wp:inline distT="0" distB="0" distL="0" distR="0" wp14:anchorId="42E7A63E" wp14:editId="4BE183F8">
                                <wp:extent cx="3600450" cy="196725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2418" cy="2006579"/>
                                        </a:xfrm>
                                        <a:prstGeom prst="rect">
                                          <a:avLst/>
                                        </a:prstGeom>
                                        <a:noFill/>
                                        <a:ln>
                                          <a:noFill/>
                                        </a:ln>
                                      </pic:spPr>
                                    </pic:pic>
                                  </a:graphicData>
                                </a:graphic>
                              </wp:inline>
                            </w:drawing>
                          </w:r>
                        </w:p>
                      </w:txbxContent>
                    </v:textbox>
                    <w10:wrap type="square"/>
                  </v:shape>
                </w:pict>
              </mc:Fallback>
            </mc:AlternateContent>
          </w:r>
          <w:r w:rsidR="00541A1B" w:rsidRPr="00FE0CD8">
            <w:rPr>
              <w:rFonts w:eastAsiaTheme="minorEastAsia"/>
              <w:lang w:eastAsia="fr-FR"/>
            </w:rPr>
            <w:br w:type="page"/>
          </w:r>
        </w:p>
      </w:sdtContent>
    </w:sdt>
    <w:p w:rsidR="002668C1" w:rsidRPr="00FE0CD8" w:rsidRDefault="0017231A" w:rsidP="00541A1B">
      <w:pPr>
        <w:rPr>
          <w:rFonts w:ascii="Arial Black" w:hAnsi="Arial Black"/>
          <w:b/>
          <w:color w:val="C64A25" w:themeColor="accent1"/>
          <w:sz w:val="28"/>
        </w:rPr>
      </w:pPr>
      <w:r w:rsidRPr="00FE0CD8">
        <w:rPr>
          <w:rFonts w:ascii="Arial Black" w:hAnsi="Arial Black"/>
          <w:b/>
          <w:color w:val="C64A25" w:themeColor="accent1"/>
          <w:sz w:val="28"/>
        </w:rPr>
        <w:lastRenderedPageBreak/>
        <w:t>Contexte réglementaire :</w:t>
      </w:r>
      <w:r w:rsidR="00F706BC" w:rsidRPr="00FE0CD8">
        <w:rPr>
          <w:rFonts w:ascii="Arial Black" w:hAnsi="Arial Black"/>
          <w:b/>
          <w:color w:val="C64A25" w:themeColor="accent1"/>
          <w:sz w:val="28"/>
        </w:rPr>
        <w:t xml:space="preserve"> </w:t>
      </w:r>
    </w:p>
    <w:p w:rsidR="00AD73CD" w:rsidRPr="00FE0CD8" w:rsidRDefault="00EA4187" w:rsidP="00FE0CD8">
      <w:pPr>
        <w:jc w:val="both"/>
        <w:rPr>
          <w:rFonts w:ascii="Arial" w:hAnsi="Arial" w:cs="Arial"/>
          <w:sz w:val="20"/>
          <w:szCs w:val="20"/>
        </w:rPr>
      </w:pPr>
      <w:r w:rsidRPr="00FE0CD8">
        <w:rPr>
          <w:rFonts w:ascii="Arial" w:hAnsi="Arial" w:cs="Arial"/>
          <w:sz w:val="20"/>
          <w:szCs w:val="20"/>
        </w:rPr>
        <w:t>Le terme AIPR signifie « Autorisation d’Intervention à Proximité des Réseaux ».</w:t>
      </w:r>
    </w:p>
    <w:p w:rsidR="00EA4187" w:rsidRPr="00FE0CD8" w:rsidRDefault="00EA4187" w:rsidP="00FE0CD8">
      <w:pPr>
        <w:jc w:val="both"/>
        <w:rPr>
          <w:rFonts w:ascii="Arial" w:hAnsi="Arial" w:cs="Arial"/>
          <w:sz w:val="20"/>
          <w:szCs w:val="20"/>
        </w:rPr>
      </w:pPr>
      <w:r w:rsidRPr="00FE0CD8">
        <w:rPr>
          <w:rFonts w:ascii="Arial" w:hAnsi="Arial" w:cs="Arial"/>
          <w:sz w:val="20"/>
          <w:szCs w:val="20"/>
        </w:rPr>
        <w:t xml:space="preserve"> Cette nouvelle autorisation fait suite à la réglementation de 2012 concernant les travaux à proximité des réseaux souterrains, aériens et subaquatiques, avec pour objectif de limiter au maximum les détériorations de ces différents réseaux lors des travaux, ainsi que les dommages aux personnes.</w:t>
      </w:r>
    </w:p>
    <w:p w:rsidR="00EA4187" w:rsidRPr="00FE0CD8" w:rsidRDefault="00EA4187" w:rsidP="00FE0CD8">
      <w:pPr>
        <w:jc w:val="both"/>
        <w:rPr>
          <w:rFonts w:ascii="Arial" w:hAnsi="Arial" w:cs="Arial"/>
          <w:sz w:val="20"/>
          <w:szCs w:val="20"/>
        </w:rPr>
      </w:pPr>
      <w:r w:rsidRPr="00FE0CD8">
        <w:rPr>
          <w:rFonts w:ascii="Arial" w:hAnsi="Arial" w:cs="Arial"/>
          <w:sz w:val="20"/>
          <w:szCs w:val="20"/>
        </w:rPr>
        <w:t>L’AIPR est la preuve que l’</w:t>
      </w:r>
      <w:r w:rsidR="004322A2" w:rsidRPr="00FE0CD8">
        <w:rPr>
          <w:rFonts w:ascii="Arial" w:hAnsi="Arial" w:cs="Arial"/>
          <w:sz w:val="20"/>
          <w:szCs w:val="20"/>
        </w:rPr>
        <w:t>a</w:t>
      </w:r>
      <w:r w:rsidRPr="00FE0CD8">
        <w:rPr>
          <w:rFonts w:ascii="Arial" w:hAnsi="Arial" w:cs="Arial"/>
          <w:sz w:val="20"/>
          <w:szCs w:val="20"/>
        </w:rPr>
        <w:t xml:space="preserve">utorité </w:t>
      </w:r>
      <w:r w:rsidR="004322A2" w:rsidRPr="00FE0CD8">
        <w:rPr>
          <w:rFonts w:ascii="Arial" w:hAnsi="Arial" w:cs="Arial"/>
          <w:sz w:val="20"/>
          <w:szCs w:val="20"/>
        </w:rPr>
        <w:t>t</w:t>
      </w:r>
      <w:r w:rsidRPr="00FE0CD8">
        <w:rPr>
          <w:rFonts w:ascii="Arial" w:hAnsi="Arial" w:cs="Arial"/>
          <w:sz w:val="20"/>
          <w:szCs w:val="20"/>
        </w:rPr>
        <w:t>erritoriale s’est assurée des compétences et des connaissances de ces agents afin que les tous les acteurs de terrain maîtrisent mieux les règles de préparation des projets de travaux, ainsi que les règles de prévention et de pr</w:t>
      </w:r>
      <w:r w:rsidR="00AD73CD" w:rsidRPr="00FE0CD8">
        <w:rPr>
          <w:rFonts w:ascii="Arial" w:hAnsi="Arial" w:cs="Arial"/>
          <w:sz w:val="20"/>
          <w:szCs w:val="20"/>
        </w:rPr>
        <w:t>otection durant les travaux</w:t>
      </w:r>
      <w:r w:rsidRPr="00FE0CD8">
        <w:rPr>
          <w:rFonts w:ascii="Arial" w:hAnsi="Arial" w:cs="Arial"/>
          <w:sz w:val="20"/>
          <w:szCs w:val="20"/>
        </w:rPr>
        <w:t xml:space="preserve"> (Article R.554-31 du code de l’environnement - article</w:t>
      </w:r>
      <w:r w:rsidR="004322A2" w:rsidRPr="00FE0CD8">
        <w:rPr>
          <w:rFonts w:ascii="Arial" w:hAnsi="Arial" w:cs="Arial"/>
          <w:sz w:val="20"/>
          <w:szCs w:val="20"/>
        </w:rPr>
        <w:t>s</w:t>
      </w:r>
      <w:r w:rsidRPr="00FE0CD8">
        <w:rPr>
          <w:rFonts w:ascii="Arial" w:hAnsi="Arial" w:cs="Arial"/>
          <w:sz w:val="20"/>
          <w:szCs w:val="20"/>
        </w:rPr>
        <w:t xml:space="preserve"> 20 à 22 de l’arrêté du 15 février 2012 modifié relatif à l’exécution de travaux à proximité de certains ouvrages souterrains, aériens ou subaquatiques).</w:t>
      </w:r>
    </w:p>
    <w:p w:rsidR="009F0B6E" w:rsidRPr="00FE0CD8" w:rsidRDefault="002E0254" w:rsidP="00FE0CD8">
      <w:pPr>
        <w:jc w:val="both"/>
        <w:rPr>
          <w:rFonts w:ascii="Arial" w:hAnsi="Arial" w:cs="Arial"/>
          <w:sz w:val="20"/>
          <w:szCs w:val="20"/>
        </w:rPr>
      </w:pPr>
      <w:r w:rsidRPr="00FE0CD8">
        <w:rPr>
          <w:rFonts w:ascii="Arial" w:hAnsi="Arial" w:cs="Arial"/>
          <w:b/>
          <w:sz w:val="20"/>
          <w:szCs w:val="20"/>
        </w:rPr>
        <w:t>Depuis le 1</w:t>
      </w:r>
      <w:r w:rsidRPr="00FE0CD8">
        <w:rPr>
          <w:rFonts w:ascii="Arial" w:hAnsi="Arial" w:cs="Arial"/>
          <w:b/>
          <w:sz w:val="20"/>
          <w:szCs w:val="20"/>
          <w:vertAlign w:val="superscript"/>
        </w:rPr>
        <w:t>er</w:t>
      </w:r>
      <w:r w:rsidR="00741272">
        <w:rPr>
          <w:rFonts w:ascii="Arial" w:hAnsi="Arial" w:cs="Arial"/>
          <w:b/>
          <w:sz w:val="20"/>
          <w:szCs w:val="20"/>
        </w:rPr>
        <w:t xml:space="preserve"> </w:t>
      </w:r>
      <w:r w:rsidRPr="00FE0CD8">
        <w:rPr>
          <w:rFonts w:ascii="Arial" w:hAnsi="Arial" w:cs="Arial"/>
          <w:b/>
          <w:sz w:val="20"/>
          <w:szCs w:val="20"/>
        </w:rPr>
        <w:t>janvier 2018</w:t>
      </w:r>
      <w:r w:rsidRPr="00FE0CD8">
        <w:rPr>
          <w:rFonts w:ascii="Arial" w:hAnsi="Arial" w:cs="Arial"/>
          <w:sz w:val="20"/>
          <w:szCs w:val="20"/>
        </w:rPr>
        <w:t xml:space="preserve">, la réglementation prévoit une obligation de vérification des compétences des intervenants à proximité des réseaux, notamment pour les maîtres d’ouvrages publics de travaux ainsi que </w:t>
      </w:r>
      <w:r w:rsidR="00EA4187" w:rsidRPr="00FE0CD8">
        <w:rPr>
          <w:rFonts w:ascii="Arial" w:hAnsi="Arial" w:cs="Arial"/>
          <w:sz w:val="20"/>
          <w:szCs w:val="20"/>
        </w:rPr>
        <w:t>leurs appuis</w:t>
      </w:r>
      <w:r w:rsidRPr="00FE0CD8">
        <w:rPr>
          <w:rFonts w:ascii="Arial" w:hAnsi="Arial" w:cs="Arial"/>
          <w:sz w:val="20"/>
          <w:szCs w:val="20"/>
        </w:rPr>
        <w:t xml:space="preserve"> en maîtrise d’œuvre.</w:t>
      </w:r>
      <w:r w:rsidRPr="00FE0CD8">
        <w:rPr>
          <w:rFonts w:ascii="Arial" w:hAnsi="Arial" w:cs="Arial"/>
          <w:sz w:val="20"/>
          <w:szCs w:val="20"/>
        </w:rPr>
        <w:cr/>
      </w:r>
    </w:p>
    <w:p w:rsidR="00D00365" w:rsidRPr="00FE0CD8" w:rsidRDefault="00D00365" w:rsidP="00FE0CD8">
      <w:pPr>
        <w:jc w:val="both"/>
        <w:rPr>
          <w:rFonts w:ascii="Arial" w:hAnsi="Arial" w:cs="Arial"/>
          <w:sz w:val="20"/>
          <w:szCs w:val="20"/>
        </w:rPr>
      </w:pPr>
      <w:r w:rsidRPr="00FE0CD8">
        <w:rPr>
          <w:rFonts w:ascii="Arial" w:hAnsi="Arial" w:cs="Arial"/>
          <w:sz w:val="20"/>
          <w:szCs w:val="20"/>
        </w:rPr>
        <w:t>De très nombreux travaux sont concernés par l’AIPR (Liste non exhaustive de travaux) :</w:t>
      </w:r>
    </w:p>
    <w:p w:rsidR="00D00365" w:rsidRPr="00FE0CD8" w:rsidRDefault="00D00365" w:rsidP="00FE0CD8">
      <w:pPr>
        <w:jc w:val="both"/>
        <w:rPr>
          <w:rFonts w:ascii="Arial" w:hAnsi="Arial" w:cs="Arial"/>
          <w:sz w:val="20"/>
          <w:szCs w:val="20"/>
        </w:rPr>
      </w:pPr>
      <w:r w:rsidRPr="00FE0CD8">
        <w:rPr>
          <w:rFonts w:ascii="Arial" w:hAnsi="Arial" w:cs="Arial"/>
          <w:sz w:val="20"/>
          <w:szCs w:val="20"/>
        </w:rPr>
        <w:t>Le personnel chargé de :</w:t>
      </w:r>
    </w:p>
    <w:p w:rsidR="00D00365" w:rsidRPr="00FE0CD8" w:rsidRDefault="00D00365" w:rsidP="00FE0CD8">
      <w:pPr>
        <w:pStyle w:val="Paragraphedeliste"/>
        <w:numPr>
          <w:ilvl w:val="0"/>
          <w:numId w:val="15"/>
        </w:numPr>
        <w:jc w:val="both"/>
        <w:rPr>
          <w:rFonts w:ascii="Arial" w:hAnsi="Arial" w:cs="Arial"/>
          <w:sz w:val="20"/>
          <w:szCs w:val="20"/>
        </w:rPr>
      </w:pPr>
      <w:r w:rsidRPr="00FE0CD8">
        <w:rPr>
          <w:rFonts w:ascii="Arial" w:hAnsi="Arial" w:cs="Arial"/>
          <w:sz w:val="20"/>
          <w:szCs w:val="20"/>
        </w:rPr>
        <w:t>L’installation</w:t>
      </w:r>
      <w:r w:rsidR="00AD73CD" w:rsidRPr="00FE0CD8">
        <w:rPr>
          <w:rFonts w:ascii="Arial" w:hAnsi="Arial" w:cs="Arial"/>
          <w:sz w:val="20"/>
          <w:szCs w:val="20"/>
        </w:rPr>
        <w:t xml:space="preserve"> des décorations de Noël.</w:t>
      </w:r>
    </w:p>
    <w:p w:rsidR="00D00365" w:rsidRPr="00FE0CD8" w:rsidRDefault="00D00365" w:rsidP="00FE0CD8">
      <w:pPr>
        <w:pStyle w:val="Paragraphedeliste"/>
        <w:numPr>
          <w:ilvl w:val="0"/>
          <w:numId w:val="15"/>
        </w:numPr>
        <w:jc w:val="both"/>
        <w:rPr>
          <w:rFonts w:ascii="Arial" w:hAnsi="Arial" w:cs="Arial"/>
          <w:sz w:val="20"/>
          <w:szCs w:val="20"/>
        </w:rPr>
      </w:pPr>
      <w:r w:rsidRPr="00FE0CD8">
        <w:rPr>
          <w:rFonts w:ascii="Arial" w:hAnsi="Arial" w:cs="Arial"/>
          <w:sz w:val="20"/>
          <w:szCs w:val="20"/>
        </w:rPr>
        <w:t>Le personnel travaillant à proximité des réseaux enterrés (curage de fossés, niveleuses</w:t>
      </w:r>
      <w:r w:rsidR="004322A2" w:rsidRPr="00FE0CD8">
        <w:rPr>
          <w:rFonts w:ascii="Arial" w:hAnsi="Arial" w:cs="Arial"/>
          <w:sz w:val="20"/>
          <w:szCs w:val="20"/>
        </w:rPr>
        <w:t>, etc.).</w:t>
      </w:r>
    </w:p>
    <w:p w:rsidR="00D00365" w:rsidRPr="00FE0CD8" w:rsidRDefault="00D00365" w:rsidP="00FE0CD8">
      <w:pPr>
        <w:pStyle w:val="Paragraphedeliste"/>
        <w:numPr>
          <w:ilvl w:val="0"/>
          <w:numId w:val="15"/>
        </w:numPr>
        <w:jc w:val="both"/>
        <w:rPr>
          <w:rFonts w:ascii="Arial" w:hAnsi="Arial" w:cs="Arial"/>
          <w:sz w:val="20"/>
          <w:szCs w:val="20"/>
        </w:rPr>
      </w:pPr>
      <w:r w:rsidRPr="00FE0CD8">
        <w:rPr>
          <w:rFonts w:ascii="Arial" w:hAnsi="Arial" w:cs="Arial"/>
          <w:sz w:val="20"/>
          <w:szCs w:val="20"/>
        </w:rPr>
        <w:t xml:space="preserve">Le personnel chargé de l’entretien de l’éclairage public (changement </w:t>
      </w:r>
      <w:r w:rsidR="005B035C" w:rsidRPr="00FE0CD8">
        <w:rPr>
          <w:rFonts w:ascii="Arial" w:hAnsi="Arial" w:cs="Arial"/>
          <w:sz w:val="20"/>
          <w:szCs w:val="20"/>
        </w:rPr>
        <w:t>d’ampoules</w:t>
      </w:r>
      <w:r w:rsidR="004322A2" w:rsidRPr="00FE0CD8">
        <w:rPr>
          <w:rFonts w:ascii="Arial" w:hAnsi="Arial" w:cs="Arial"/>
          <w:sz w:val="20"/>
          <w:szCs w:val="20"/>
        </w:rPr>
        <w:t>, etc.</w:t>
      </w:r>
      <w:r w:rsidR="005B035C" w:rsidRPr="00FE0CD8">
        <w:rPr>
          <w:rFonts w:ascii="Arial" w:hAnsi="Arial" w:cs="Arial"/>
          <w:sz w:val="20"/>
          <w:szCs w:val="20"/>
        </w:rPr>
        <w:t>).</w:t>
      </w:r>
    </w:p>
    <w:p w:rsidR="00D00365" w:rsidRPr="00FE0CD8" w:rsidRDefault="00D00365" w:rsidP="00FE0CD8">
      <w:pPr>
        <w:pStyle w:val="Paragraphedeliste"/>
        <w:numPr>
          <w:ilvl w:val="0"/>
          <w:numId w:val="15"/>
        </w:numPr>
        <w:jc w:val="both"/>
        <w:rPr>
          <w:rFonts w:ascii="Arial" w:hAnsi="Arial" w:cs="Arial"/>
          <w:sz w:val="20"/>
          <w:szCs w:val="20"/>
        </w:rPr>
      </w:pPr>
      <w:r w:rsidRPr="00FE0CD8">
        <w:rPr>
          <w:rFonts w:ascii="Arial" w:hAnsi="Arial" w:cs="Arial"/>
          <w:sz w:val="20"/>
          <w:szCs w:val="20"/>
        </w:rPr>
        <w:t>L</w:t>
      </w:r>
      <w:r w:rsidR="005B035C" w:rsidRPr="00FE0CD8">
        <w:rPr>
          <w:rFonts w:ascii="Arial" w:hAnsi="Arial" w:cs="Arial"/>
          <w:sz w:val="20"/>
          <w:szCs w:val="20"/>
        </w:rPr>
        <w:t>’élagage des arbres.</w:t>
      </w:r>
    </w:p>
    <w:p w:rsidR="004322A2" w:rsidRPr="00FE0CD8" w:rsidRDefault="004322A2" w:rsidP="00FE0CD8">
      <w:pPr>
        <w:pStyle w:val="Paragraphedeliste"/>
        <w:numPr>
          <w:ilvl w:val="0"/>
          <w:numId w:val="15"/>
        </w:numPr>
        <w:jc w:val="both"/>
        <w:rPr>
          <w:rFonts w:ascii="Arial" w:hAnsi="Arial" w:cs="Arial"/>
          <w:sz w:val="20"/>
          <w:szCs w:val="20"/>
        </w:rPr>
      </w:pPr>
      <w:r w:rsidRPr="00FE0CD8">
        <w:rPr>
          <w:rFonts w:ascii="Arial" w:hAnsi="Arial" w:cs="Arial"/>
          <w:sz w:val="20"/>
          <w:szCs w:val="20"/>
        </w:rPr>
        <w:t xml:space="preserve">Etc. </w:t>
      </w:r>
    </w:p>
    <w:p w:rsidR="00D00365" w:rsidRPr="00FE0CD8" w:rsidRDefault="00D00365" w:rsidP="00FE0CD8">
      <w:pPr>
        <w:jc w:val="both"/>
        <w:rPr>
          <w:rFonts w:ascii="Arial" w:hAnsi="Arial" w:cs="Arial"/>
          <w:sz w:val="20"/>
          <w:szCs w:val="20"/>
        </w:rPr>
      </w:pPr>
      <w:r w:rsidRPr="00FE0CD8">
        <w:rPr>
          <w:rFonts w:ascii="Arial" w:hAnsi="Arial" w:cs="Arial"/>
          <w:sz w:val="20"/>
          <w:szCs w:val="20"/>
        </w:rPr>
        <w:t>Ne sont pas concernés :</w:t>
      </w:r>
    </w:p>
    <w:p w:rsidR="00D00365" w:rsidRPr="00FE0CD8" w:rsidRDefault="00D00365" w:rsidP="00FE0CD8">
      <w:pPr>
        <w:pStyle w:val="Paragraphedeliste"/>
        <w:numPr>
          <w:ilvl w:val="0"/>
          <w:numId w:val="16"/>
        </w:numPr>
        <w:jc w:val="both"/>
        <w:rPr>
          <w:rFonts w:ascii="Arial" w:hAnsi="Arial" w:cs="Arial"/>
          <w:sz w:val="20"/>
          <w:szCs w:val="20"/>
        </w:rPr>
      </w:pPr>
      <w:r w:rsidRPr="00FE0CD8">
        <w:rPr>
          <w:rFonts w:ascii="Arial" w:hAnsi="Arial" w:cs="Arial"/>
          <w:sz w:val="20"/>
          <w:szCs w:val="20"/>
        </w:rPr>
        <w:t>Les travaux sans imp</w:t>
      </w:r>
      <w:r w:rsidR="00AD73CD" w:rsidRPr="00FE0CD8">
        <w:rPr>
          <w:rFonts w:ascii="Arial" w:hAnsi="Arial" w:cs="Arial"/>
          <w:sz w:val="20"/>
          <w:szCs w:val="20"/>
        </w:rPr>
        <w:t>act sur les réseaux souterrains.</w:t>
      </w:r>
    </w:p>
    <w:p w:rsidR="00D00365" w:rsidRPr="00FE0CD8" w:rsidRDefault="00D00365" w:rsidP="00FE0CD8">
      <w:pPr>
        <w:pStyle w:val="Paragraphedeliste"/>
        <w:numPr>
          <w:ilvl w:val="0"/>
          <w:numId w:val="16"/>
        </w:numPr>
        <w:jc w:val="both"/>
        <w:rPr>
          <w:rFonts w:ascii="Arial" w:hAnsi="Arial" w:cs="Arial"/>
          <w:sz w:val="20"/>
          <w:szCs w:val="20"/>
        </w:rPr>
      </w:pPr>
      <w:r w:rsidRPr="00FE0CD8">
        <w:rPr>
          <w:rFonts w:ascii="Arial" w:hAnsi="Arial" w:cs="Arial"/>
          <w:sz w:val="20"/>
          <w:szCs w:val="20"/>
        </w:rPr>
        <w:t>Les travaux ne comportant ni fouille, ni enfoncement, ni forage du sol et ne faisant subir au sol ni compactage, ni surcharge, ni vibrations susceptibles d’a</w:t>
      </w:r>
      <w:r w:rsidR="005B035C" w:rsidRPr="00FE0CD8">
        <w:rPr>
          <w:rFonts w:ascii="Arial" w:hAnsi="Arial" w:cs="Arial"/>
          <w:sz w:val="20"/>
          <w:szCs w:val="20"/>
        </w:rPr>
        <w:t>ffecter les réseaux souterrains.</w:t>
      </w:r>
    </w:p>
    <w:p w:rsidR="00D00365" w:rsidRPr="00FE0CD8" w:rsidRDefault="00D00365" w:rsidP="00FE0CD8">
      <w:pPr>
        <w:pStyle w:val="Paragraphedeliste"/>
        <w:numPr>
          <w:ilvl w:val="0"/>
          <w:numId w:val="16"/>
        </w:numPr>
        <w:jc w:val="both"/>
        <w:rPr>
          <w:rFonts w:ascii="Arial" w:hAnsi="Arial" w:cs="Arial"/>
          <w:sz w:val="20"/>
          <w:szCs w:val="20"/>
        </w:rPr>
      </w:pPr>
      <w:r w:rsidRPr="00FE0CD8">
        <w:rPr>
          <w:rFonts w:ascii="Arial" w:hAnsi="Arial" w:cs="Arial"/>
          <w:sz w:val="20"/>
          <w:szCs w:val="20"/>
        </w:rPr>
        <w:t xml:space="preserve">Les travaux en sous-sol consistant uniquement à ajouter, enlever ou modifier des éléments à l’intérieur de tubes, fourreaux, galeries techniques, existants et souterrains, </w:t>
      </w:r>
      <w:r w:rsidRPr="00FE0CD8">
        <w:rPr>
          <w:rFonts w:ascii="Arial" w:hAnsi="Arial" w:cs="Arial"/>
          <w:b/>
          <w:sz w:val="20"/>
          <w:szCs w:val="20"/>
        </w:rPr>
        <w:t>à conditions</w:t>
      </w:r>
      <w:r w:rsidRPr="00FE0CD8">
        <w:rPr>
          <w:rFonts w:ascii="Arial" w:hAnsi="Arial" w:cs="Arial"/>
          <w:sz w:val="20"/>
          <w:szCs w:val="20"/>
        </w:rPr>
        <w:t xml:space="preserve"> que ces travaux ne soient en aucun cas susceptibles d’affecter l’intégrité externe ou le tracé de ces infrastructures,</w:t>
      </w:r>
    </w:p>
    <w:p w:rsidR="00D00365" w:rsidRPr="00FE0CD8" w:rsidRDefault="00D00365" w:rsidP="00FE0CD8">
      <w:pPr>
        <w:pStyle w:val="Paragraphedeliste"/>
        <w:numPr>
          <w:ilvl w:val="0"/>
          <w:numId w:val="16"/>
        </w:numPr>
        <w:jc w:val="both"/>
        <w:rPr>
          <w:rFonts w:ascii="Arial" w:hAnsi="Arial" w:cs="Arial"/>
          <w:sz w:val="20"/>
          <w:szCs w:val="20"/>
        </w:rPr>
      </w:pPr>
      <w:r w:rsidRPr="00FE0CD8">
        <w:rPr>
          <w:rFonts w:ascii="Arial" w:hAnsi="Arial" w:cs="Arial"/>
          <w:sz w:val="20"/>
          <w:szCs w:val="20"/>
        </w:rPr>
        <w:t xml:space="preserve">La pose dans le sol à plus de 1 mètre de tout affleurant de clous, chevilles, vis de fixation de longueur inférieure à 10 cm </w:t>
      </w:r>
      <w:r w:rsidR="00AD73CD" w:rsidRPr="00FE0CD8">
        <w:rPr>
          <w:rFonts w:ascii="Arial" w:hAnsi="Arial" w:cs="Arial"/>
          <w:sz w:val="20"/>
          <w:szCs w:val="20"/>
        </w:rPr>
        <w:t>et de diamètre inférieur à 2 cm.</w:t>
      </w:r>
    </w:p>
    <w:p w:rsidR="00D00365" w:rsidRPr="00FE0CD8" w:rsidRDefault="00D00365" w:rsidP="00FE0CD8">
      <w:pPr>
        <w:pStyle w:val="Paragraphedeliste"/>
        <w:numPr>
          <w:ilvl w:val="0"/>
          <w:numId w:val="16"/>
        </w:numPr>
        <w:jc w:val="both"/>
        <w:rPr>
          <w:rFonts w:ascii="Arial" w:hAnsi="Arial" w:cs="Arial"/>
          <w:sz w:val="20"/>
          <w:szCs w:val="20"/>
        </w:rPr>
      </w:pPr>
      <w:r w:rsidRPr="00FE0CD8">
        <w:rPr>
          <w:rFonts w:ascii="Arial" w:hAnsi="Arial" w:cs="Arial"/>
          <w:sz w:val="20"/>
          <w:szCs w:val="20"/>
        </w:rPr>
        <w:t>Le remplacement à plus de 1 mètre de tout affleurant de poteaux, à l’identique, sans creusement supérieur à celui de la fouille initiale en profondeur et en largeur, et à condition que le creusement ne dépasse pas 40 cm de profondeur.</w:t>
      </w:r>
    </w:p>
    <w:p w:rsidR="00D00365" w:rsidRPr="00FE0CD8" w:rsidRDefault="00D00365" w:rsidP="00FE0CD8">
      <w:pPr>
        <w:pStyle w:val="Paragraphedeliste"/>
        <w:numPr>
          <w:ilvl w:val="0"/>
          <w:numId w:val="16"/>
        </w:numPr>
        <w:jc w:val="both"/>
        <w:rPr>
          <w:rFonts w:ascii="Arial" w:hAnsi="Arial" w:cs="Arial"/>
          <w:sz w:val="20"/>
          <w:szCs w:val="20"/>
        </w:rPr>
      </w:pPr>
      <w:r w:rsidRPr="00FE0CD8">
        <w:rPr>
          <w:rFonts w:ascii="Arial" w:hAnsi="Arial" w:cs="Arial"/>
          <w:sz w:val="20"/>
          <w:szCs w:val="20"/>
        </w:rPr>
        <w:t>Les travaux suffisamment éloigné de tout réseau aérien (&gt;5m),</w:t>
      </w:r>
    </w:p>
    <w:p w:rsidR="00D00365" w:rsidRPr="00FE0CD8" w:rsidRDefault="00D00365" w:rsidP="00FE0CD8">
      <w:pPr>
        <w:pStyle w:val="Paragraphedeliste"/>
        <w:numPr>
          <w:ilvl w:val="0"/>
          <w:numId w:val="16"/>
        </w:numPr>
        <w:jc w:val="both"/>
        <w:rPr>
          <w:rFonts w:ascii="Arial" w:hAnsi="Arial" w:cs="Arial"/>
          <w:sz w:val="20"/>
          <w:szCs w:val="20"/>
        </w:rPr>
      </w:pPr>
      <w:r w:rsidRPr="00FE0CD8">
        <w:rPr>
          <w:rFonts w:ascii="Arial" w:hAnsi="Arial" w:cs="Arial"/>
          <w:sz w:val="20"/>
          <w:szCs w:val="20"/>
        </w:rPr>
        <w:t>Les travaux agricoles et horticoles de préparation superficielle du sol à une profondeur n’excédant pas 40 cm.</w:t>
      </w:r>
    </w:p>
    <w:p w:rsidR="00D00365" w:rsidRDefault="00D00365" w:rsidP="00D00365">
      <w:pPr>
        <w:rPr>
          <w:sz w:val="28"/>
        </w:rPr>
      </w:pPr>
    </w:p>
    <w:p w:rsidR="005E3C37" w:rsidRPr="00FE0CD8" w:rsidRDefault="005E3C37" w:rsidP="00EA4187">
      <w:pPr>
        <w:rPr>
          <w:rFonts w:ascii="Arial Black" w:hAnsi="Arial Black" w:cs="Arial"/>
          <w:b/>
          <w:color w:val="C64A25" w:themeColor="accent1"/>
          <w:sz w:val="28"/>
          <w:szCs w:val="28"/>
        </w:rPr>
      </w:pPr>
      <w:r w:rsidRPr="00FE0CD8">
        <w:rPr>
          <w:rFonts w:ascii="Arial Black" w:hAnsi="Arial Black" w:cs="Arial"/>
          <w:b/>
          <w:color w:val="C64A25" w:themeColor="accent1"/>
          <w:sz w:val="28"/>
          <w:szCs w:val="28"/>
        </w:rPr>
        <w:t xml:space="preserve">Qui est concerné ? </w:t>
      </w:r>
    </w:p>
    <w:p w:rsidR="00EA4187" w:rsidRPr="00FE0CD8" w:rsidRDefault="00EA4187" w:rsidP="00FE0CD8">
      <w:pPr>
        <w:jc w:val="both"/>
        <w:rPr>
          <w:rFonts w:ascii="Arial" w:hAnsi="Arial" w:cs="Arial"/>
          <w:sz w:val="20"/>
          <w:szCs w:val="20"/>
        </w:rPr>
      </w:pPr>
      <w:r w:rsidRPr="00FE0CD8">
        <w:rPr>
          <w:rFonts w:ascii="Arial" w:hAnsi="Arial" w:cs="Arial"/>
          <w:sz w:val="20"/>
          <w:szCs w:val="20"/>
        </w:rPr>
        <w:t>L’AIPR s’adresse aux personnes qui interviennent lors de la phase de préparation des travaux (agents territoriaux, élus, maîtres d’œuvre, bureaux d’études...) en tant que concepteurs mais aussi les personnes qui interviennent lors de l’exécution des travaux (agents des services techniques, salariés de l’entreprise de travaux...) en tant qu’encadrants ou opérateurs.</w:t>
      </w:r>
    </w:p>
    <w:p w:rsidR="002E0254" w:rsidRPr="00FE0CD8" w:rsidRDefault="00E76B90" w:rsidP="00FE0CD8">
      <w:pPr>
        <w:jc w:val="both"/>
        <w:rPr>
          <w:rFonts w:ascii="Arial" w:hAnsi="Arial" w:cs="Arial"/>
          <w:sz w:val="20"/>
          <w:szCs w:val="20"/>
          <w:u w:val="single"/>
        </w:rPr>
      </w:pPr>
      <w:r w:rsidRPr="00FE0CD8">
        <w:rPr>
          <w:rFonts w:ascii="Arial" w:hAnsi="Arial" w:cs="Arial"/>
          <w:sz w:val="20"/>
          <w:szCs w:val="20"/>
          <w:u w:val="single"/>
        </w:rPr>
        <w:t>Trois</w:t>
      </w:r>
      <w:r w:rsidR="00EA4187" w:rsidRPr="00FE0CD8">
        <w:rPr>
          <w:rFonts w:ascii="Arial" w:hAnsi="Arial" w:cs="Arial"/>
          <w:sz w:val="20"/>
          <w:szCs w:val="20"/>
          <w:u w:val="single"/>
        </w:rPr>
        <w:t xml:space="preserve"> catégories de personnes doivent disposer de l’AIPR</w:t>
      </w:r>
      <w:r w:rsidR="00AD73CD" w:rsidRPr="00FE0CD8">
        <w:rPr>
          <w:rFonts w:ascii="Arial" w:hAnsi="Arial" w:cs="Arial"/>
          <w:sz w:val="20"/>
          <w:szCs w:val="20"/>
          <w:u w:val="single"/>
        </w:rPr>
        <w:t xml:space="preserve"> </w:t>
      </w:r>
      <w:r w:rsidR="002E0254" w:rsidRPr="00FE0CD8">
        <w:rPr>
          <w:rFonts w:ascii="Arial" w:hAnsi="Arial" w:cs="Arial"/>
          <w:sz w:val="20"/>
          <w:szCs w:val="20"/>
          <w:u w:val="single"/>
        </w:rPr>
        <w:t>:</w:t>
      </w:r>
    </w:p>
    <w:p w:rsidR="002E0254" w:rsidRPr="00FE0CD8" w:rsidRDefault="005E3C37" w:rsidP="00FE0CD8">
      <w:pPr>
        <w:pStyle w:val="Paragraphedeliste"/>
        <w:numPr>
          <w:ilvl w:val="0"/>
          <w:numId w:val="17"/>
        </w:numPr>
        <w:jc w:val="both"/>
        <w:rPr>
          <w:rFonts w:ascii="Arial" w:hAnsi="Arial" w:cs="Arial"/>
          <w:color w:val="86C0C9" w:themeColor="accent3"/>
          <w:sz w:val="20"/>
          <w:szCs w:val="20"/>
        </w:rPr>
      </w:pPr>
      <w:r w:rsidRPr="00FE0CD8">
        <w:rPr>
          <w:rFonts w:ascii="Arial" w:hAnsi="Arial" w:cs="Arial"/>
          <w:b/>
          <w:color w:val="86C0C9" w:themeColor="accent3"/>
          <w:sz w:val="20"/>
          <w:szCs w:val="20"/>
        </w:rPr>
        <w:t>P</w:t>
      </w:r>
      <w:r w:rsidR="002E0254" w:rsidRPr="00FE0CD8">
        <w:rPr>
          <w:rFonts w:ascii="Arial" w:hAnsi="Arial" w:cs="Arial"/>
          <w:b/>
          <w:color w:val="86C0C9" w:themeColor="accent3"/>
          <w:sz w:val="20"/>
          <w:szCs w:val="20"/>
        </w:rPr>
        <w:t>rofil concepteur :</w:t>
      </w:r>
      <w:r w:rsidR="002E0254" w:rsidRPr="00FE0CD8">
        <w:rPr>
          <w:rFonts w:ascii="Arial" w:hAnsi="Arial" w:cs="Arial"/>
          <w:color w:val="86C0C9" w:themeColor="accent3"/>
          <w:sz w:val="20"/>
          <w:szCs w:val="20"/>
        </w:rPr>
        <w:t xml:space="preserve"> </w:t>
      </w:r>
    </w:p>
    <w:p w:rsidR="005E3C37" w:rsidRPr="00FE0CD8" w:rsidRDefault="005E3C37" w:rsidP="00FE0CD8">
      <w:pPr>
        <w:pStyle w:val="Retraitcorpsdetexte"/>
      </w:pPr>
      <w:r w:rsidRPr="00FE0CD8">
        <w:t>P</w:t>
      </w:r>
      <w:r w:rsidR="002E0254" w:rsidRPr="00FE0CD8">
        <w:t>ersonnel du maître d'ouvrage ou du maître d’œuvre devant intervenir en préparation ou suivi des projets de travaux (chargés notamment d'effectuer les déclarations de projet de travaux (DT), d'analyser leurs réponses, de procéder ou faire procéder à des investigations complémentaires sur les réseaux situés au droit des travaux, d'annexer au dossier de consultation des entreprises puis au marché de travaux les informations utiles sur les réseaux, de procéder ou faire procéder au marquage piquetage des réseaux enterrés et d'assurer le suivi ou le contrôle de l'exécution des travaux).</w:t>
      </w:r>
    </w:p>
    <w:p w:rsidR="002E0254" w:rsidRPr="00FE0CD8" w:rsidRDefault="002E0254" w:rsidP="00FE0CD8">
      <w:pPr>
        <w:spacing w:line="276" w:lineRule="auto"/>
        <w:ind w:left="708" w:firstLine="60"/>
        <w:jc w:val="both"/>
        <w:rPr>
          <w:rFonts w:ascii="Arial" w:hAnsi="Arial" w:cs="Arial"/>
          <w:sz w:val="20"/>
          <w:szCs w:val="20"/>
        </w:rPr>
      </w:pPr>
      <w:r w:rsidRPr="00FE0CD8">
        <w:rPr>
          <w:rFonts w:ascii="Arial" w:hAnsi="Arial" w:cs="Arial"/>
          <w:sz w:val="20"/>
          <w:szCs w:val="20"/>
        </w:rPr>
        <w:t>L'obligation s'applique à au moins une personne chargée par le responsable de projet de ces missions ou de leur coordination, et lorsque pour les travaux prévus sont appelés à intervenir plusieurs entreprises, entreprises sous-traitantes incluses, ou plusieurs travailleurs indépendants. En outre, pour tout prestataire en localisation des réseaux ou en récolement de réseaux neufs voulant être certifié, au moins une personne doit être titulaire d’une AIPR "concepteur".</w:t>
      </w:r>
    </w:p>
    <w:p w:rsidR="005E3C37" w:rsidRPr="00FE0CD8" w:rsidRDefault="005E3C37" w:rsidP="00FE0CD8">
      <w:pPr>
        <w:jc w:val="both"/>
        <w:rPr>
          <w:rFonts w:ascii="Arial" w:hAnsi="Arial" w:cs="Arial"/>
          <w:sz w:val="20"/>
          <w:szCs w:val="20"/>
        </w:rPr>
      </w:pPr>
    </w:p>
    <w:p w:rsidR="005E3C37" w:rsidRPr="00FE0CD8" w:rsidRDefault="002E0254" w:rsidP="00FE0CD8">
      <w:pPr>
        <w:pStyle w:val="Paragraphedeliste"/>
        <w:numPr>
          <w:ilvl w:val="0"/>
          <w:numId w:val="17"/>
        </w:numPr>
        <w:spacing w:after="0"/>
        <w:jc w:val="both"/>
        <w:rPr>
          <w:rFonts w:ascii="Arial" w:hAnsi="Arial" w:cs="Arial"/>
          <w:color w:val="86C0C9" w:themeColor="accent3"/>
          <w:sz w:val="20"/>
          <w:szCs w:val="20"/>
        </w:rPr>
      </w:pPr>
      <w:r w:rsidRPr="00FE0CD8">
        <w:rPr>
          <w:rFonts w:ascii="Arial" w:hAnsi="Arial" w:cs="Arial"/>
          <w:b/>
          <w:color w:val="86C0C9" w:themeColor="accent3"/>
          <w:sz w:val="20"/>
          <w:szCs w:val="20"/>
        </w:rPr>
        <w:t>Profil encadrant</w:t>
      </w:r>
      <w:r w:rsidRPr="00FE0CD8">
        <w:rPr>
          <w:rFonts w:ascii="Arial" w:hAnsi="Arial" w:cs="Arial"/>
          <w:color w:val="86C0C9" w:themeColor="accent3"/>
          <w:sz w:val="20"/>
          <w:szCs w:val="20"/>
        </w:rPr>
        <w:t xml:space="preserve"> :</w:t>
      </w:r>
    </w:p>
    <w:p w:rsidR="005E3C37" w:rsidRPr="00FE0CD8" w:rsidRDefault="005E3C37" w:rsidP="00FE0CD8">
      <w:pPr>
        <w:pStyle w:val="Paragraphedeliste"/>
        <w:spacing w:after="0" w:line="276" w:lineRule="auto"/>
        <w:jc w:val="both"/>
        <w:rPr>
          <w:rFonts w:ascii="Arial" w:hAnsi="Arial" w:cs="Arial"/>
          <w:sz w:val="20"/>
          <w:szCs w:val="20"/>
        </w:rPr>
      </w:pPr>
      <w:r w:rsidRPr="00FE0CD8">
        <w:rPr>
          <w:rFonts w:ascii="Arial" w:hAnsi="Arial" w:cs="Arial"/>
          <w:sz w:val="20"/>
          <w:szCs w:val="20"/>
        </w:rPr>
        <w:t xml:space="preserve"> A</w:t>
      </w:r>
      <w:r w:rsidR="002E0254" w:rsidRPr="00FE0CD8">
        <w:rPr>
          <w:rFonts w:ascii="Arial" w:hAnsi="Arial" w:cs="Arial"/>
          <w:sz w:val="20"/>
          <w:szCs w:val="20"/>
        </w:rPr>
        <w:t xml:space="preserve">gent chargé d’encadrer des équipes de travaux, intervenant en préparation administrative et technique des travaux (chef de chantier, conducteur de travaux). Pour tout chantier de travaux, au moins un agent doit être identifiable comme titulaire d’une AIPR "encadrant". </w:t>
      </w:r>
    </w:p>
    <w:p w:rsidR="002E0254" w:rsidRPr="00FE0CD8" w:rsidRDefault="002E0254" w:rsidP="00FE0CD8">
      <w:pPr>
        <w:pStyle w:val="Paragraphedeliste"/>
        <w:spacing w:line="276" w:lineRule="auto"/>
        <w:jc w:val="both"/>
        <w:rPr>
          <w:rFonts w:ascii="Arial" w:hAnsi="Arial" w:cs="Arial"/>
          <w:sz w:val="20"/>
          <w:szCs w:val="20"/>
        </w:rPr>
      </w:pPr>
      <w:r w:rsidRPr="00FE0CD8">
        <w:rPr>
          <w:rFonts w:ascii="Arial" w:hAnsi="Arial" w:cs="Arial"/>
          <w:sz w:val="20"/>
          <w:szCs w:val="20"/>
        </w:rPr>
        <w:t>Cet encadrant doit être présent sur le chantier ou être en capacité de s’y rendre dans la demi-journée</w:t>
      </w:r>
    </w:p>
    <w:p w:rsidR="005E3C37" w:rsidRPr="00FE0CD8" w:rsidRDefault="005E3C37" w:rsidP="00FE0CD8">
      <w:pPr>
        <w:pStyle w:val="Paragraphedeliste"/>
        <w:jc w:val="both"/>
        <w:rPr>
          <w:rFonts w:ascii="Arial" w:hAnsi="Arial" w:cs="Arial"/>
          <w:sz w:val="20"/>
          <w:szCs w:val="20"/>
        </w:rPr>
      </w:pPr>
    </w:p>
    <w:p w:rsidR="002D0EE9" w:rsidRPr="00FE0CD8" w:rsidRDefault="002E0254" w:rsidP="00FE0CD8">
      <w:pPr>
        <w:pStyle w:val="Paragraphedeliste"/>
        <w:numPr>
          <w:ilvl w:val="0"/>
          <w:numId w:val="17"/>
        </w:numPr>
        <w:jc w:val="both"/>
        <w:rPr>
          <w:rFonts w:ascii="Arial" w:hAnsi="Arial" w:cs="Arial"/>
          <w:b/>
          <w:color w:val="86C0C9" w:themeColor="accent3"/>
          <w:sz w:val="20"/>
          <w:szCs w:val="20"/>
        </w:rPr>
      </w:pPr>
      <w:r w:rsidRPr="00FE0CD8">
        <w:rPr>
          <w:rFonts w:ascii="Arial" w:hAnsi="Arial" w:cs="Arial"/>
          <w:b/>
          <w:color w:val="86C0C9" w:themeColor="accent3"/>
          <w:sz w:val="20"/>
          <w:szCs w:val="20"/>
        </w:rPr>
        <w:t>Profil opérateur :</w:t>
      </w:r>
    </w:p>
    <w:p w:rsidR="002E0254" w:rsidRPr="00FE0CD8" w:rsidRDefault="005E3C37" w:rsidP="00FE0CD8">
      <w:pPr>
        <w:pStyle w:val="Paragraphedeliste"/>
        <w:spacing w:line="276" w:lineRule="auto"/>
        <w:jc w:val="both"/>
        <w:rPr>
          <w:rFonts w:ascii="Arial" w:hAnsi="Arial" w:cs="Arial"/>
          <w:sz w:val="20"/>
          <w:szCs w:val="20"/>
        </w:rPr>
      </w:pPr>
      <w:r w:rsidRPr="00FE0CD8">
        <w:rPr>
          <w:rFonts w:ascii="Arial" w:hAnsi="Arial" w:cs="Arial"/>
          <w:sz w:val="20"/>
          <w:szCs w:val="20"/>
        </w:rPr>
        <w:t>A</w:t>
      </w:r>
      <w:r w:rsidR="002E0254" w:rsidRPr="00FE0CD8">
        <w:rPr>
          <w:rFonts w:ascii="Arial" w:hAnsi="Arial" w:cs="Arial"/>
          <w:sz w:val="20"/>
          <w:szCs w:val="20"/>
        </w:rPr>
        <w:t xml:space="preserve">gent intervenant directement dans les travaux à proximité des réseaux aériens ou enterrés, soit en tant que conducteur d'engins (voir liste ci-dessous), soit dans le cadre de travaux urgents. Sur tout chantier de travaux, </w:t>
      </w:r>
      <w:r w:rsidR="00050B2D" w:rsidRPr="00FE0CD8">
        <w:rPr>
          <w:rFonts w:ascii="Arial" w:hAnsi="Arial" w:cs="Arial"/>
          <w:sz w:val="20"/>
          <w:szCs w:val="20"/>
        </w:rPr>
        <w:t>l'ensemble des opérateurs d'engin doivent être titulaires d'une AIPR. Sur tout chantier de travaux urgents, l'ensemble des personnels intervenant en terrassement ou en approche des réseaux aériens doivent être titulaires de l'AIPR</w:t>
      </w:r>
    </w:p>
    <w:p w:rsidR="00050B2D" w:rsidRPr="00FE0CD8" w:rsidRDefault="00050B2D" w:rsidP="00FE0CD8">
      <w:pPr>
        <w:jc w:val="both"/>
        <w:rPr>
          <w:rFonts w:ascii="Arial" w:hAnsi="Arial" w:cs="Arial"/>
          <w:b/>
          <w:sz w:val="20"/>
          <w:szCs w:val="20"/>
        </w:rPr>
      </w:pPr>
    </w:p>
    <w:p w:rsidR="005E3C37" w:rsidRPr="00FE0CD8" w:rsidRDefault="005E3C37" w:rsidP="002D0EE9">
      <w:pPr>
        <w:rPr>
          <w:rFonts w:ascii="Arial Black" w:hAnsi="Arial Black" w:cs="Arial"/>
          <w:color w:val="C64A25" w:themeColor="accent1"/>
          <w:sz w:val="28"/>
          <w:szCs w:val="24"/>
        </w:rPr>
      </w:pPr>
      <w:r w:rsidRPr="00FE0CD8">
        <w:rPr>
          <w:rFonts w:ascii="Arial Black" w:hAnsi="Arial Black" w:cs="Arial"/>
          <w:b/>
          <w:color w:val="C64A25" w:themeColor="accent1"/>
          <w:sz w:val="28"/>
          <w:szCs w:val="24"/>
        </w:rPr>
        <w:t>Comment est délivré l’AIPR ?</w:t>
      </w:r>
    </w:p>
    <w:p w:rsidR="005E3C37" w:rsidRPr="00FE0CD8" w:rsidRDefault="005E3C37" w:rsidP="00FE0CD8">
      <w:pPr>
        <w:pStyle w:val="Paragraphedeliste"/>
        <w:spacing w:line="276" w:lineRule="auto"/>
        <w:ind w:left="0"/>
        <w:jc w:val="both"/>
        <w:rPr>
          <w:rFonts w:ascii="Arial" w:hAnsi="Arial" w:cs="Arial"/>
          <w:sz w:val="20"/>
          <w:szCs w:val="20"/>
        </w:rPr>
      </w:pPr>
      <w:r w:rsidRPr="00FE0CD8">
        <w:rPr>
          <w:rFonts w:ascii="Arial" w:hAnsi="Arial" w:cs="Arial"/>
          <w:sz w:val="20"/>
          <w:szCs w:val="20"/>
        </w:rPr>
        <w:t xml:space="preserve">C’est l’autorité territoriale qui délivre l’AIPR après s’être assuré que l’agent possède au minimum une des compétences ci-après : </w:t>
      </w:r>
    </w:p>
    <w:p w:rsidR="005E3C37" w:rsidRPr="00FE0CD8" w:rsidRDefault="005E3C37" w:rsidP="00FE0CD8">
      <w:pPr>
        <w:pStyle w:val="Paragraphedeliste"/>
        <w:numPr>
          <w:ilvl w:val="0"/>
          <w:numId w:val="14"/>
        </w:numPr>
        <w:spacing w:line="276" w:lineRule="auto"/>
        <w:jc w:val="both"/>
        <w:rPr>
          <w:rFonts w:ascii="Arial" w:hAnsi="Arial" w:cs="Arial"/>
          <w:sz w:val="20"/>
          <w:szCs w:val="20"/>
        </w:rPr>
      </w:pPr>
      <w:r w:rsidRPr="00FE0CD8">
        <w:rPr>
          <w:rFonts w:ascii="Arial" w:hAnsi="Arial" w:cs="Arial"/>
          <w:b/>
          <w:sz w:val="20"/>
          <w:szCs w:val="20"/>
        </w:rPr>
        <w:t>Un CACES en cours de validité</w:t>
      </w:r>
      <w:r w:rsidRPr="00FE0CD8">
        <w:rPr>
          <w:rFonts w:ascii="Arial" w:hAnsi="Arial" w:cs="Arial"/>
          <w:sz w:val="20"/>
          <w:szCs w:val="20"/>
        </w:rPr>
        <w:t xml:space="preserve"> prenant en compte la réforme anti-endommagement, pour les conducteurs d’engins de travaux publics (pelles, foreuses, grues, nacelles, chariots élévateurs…)</w:t>
      </w:r>
    </w:p>
    <w:p w:rsidR="005E3C37" w:rsidRPr="00FE0CD8" w:rsidRDefault="005E3C37" w:rsidP="00FE0CD8">
      <w:pPr>
        <w:pStyle w:val="Paragraphedeliste"/>
        <w:numPr>
          <w:ilvl w:val="0"/>
          <w:numId w:val="14"/>
        </w:numPr>
        <w:spacing w:line="276" w:lineRule="auto"/>
        <w:jc w:val="both"/>
        <w:rPr>
          <w:rFonts w:ascii="Arial" w:hAnsi="Arial" w:cs="Arial"/>
          <w:sz w:val="20"/>
          <w:szCs w:val="20"/>
        </w:rPr>
      </w:pPr>
      <w:r w:rsidRPr="00FE0CD8">
        <w:rPr>
          <w:rFonts w:ascii="Arial" w:hAnsi="Arial" w:cs="Arial"/>
          <w:sz w:val="20"/>
          <w:szCs w:val="20"/>
        </w:rPr>
        <w:t xml:space="preserve"> </w:t>
      </w:r>
      <w:r w:rsidRPr="00FE0CD8">
        <w:rPr>
          <w:rFonts w:ascii="Arial" w:hAnsi="Arial" w:cs="Arial"/>
          <w:b/>
          <w:sz w:val="20"/>
          <w:szCs w:val="20"/>
        </w:rPr>
        <w:t>Un titre, diplôme, certificat de qualification professionnelle</w:t>
      </w:r>
      <w:r w:rsidRPr="00FE0CD8">
        <w:rPr>
          <w:rFonts w:ascii="Arial" w:hAnsi="Arial" w:cs="Arial"/>
          <w:sz w:val="20"/>
          <w:szCs w:val="20"/>
        </w:rPr>
        <w:t xml:space="preserve"> des secteurs du bâtiment et des travaux publics ou secteurs connexes, datant de moins de </w:t>
      </w:r>
      <w:r w:rsidR="00E76B90" w:rsidRPr="00FE0CD8">
        <w:rPr>
          <w:rFonts w:ascii="Arial" w:hAnsi="Arial" w:cs="Arial"/>
          <w:sz w:val="20"/>
          <w:szCs w:val="20"/>
        </w:rPr>
        <w:t>cinq</w:t>
      </w:r>
      <w:r w:rsidRPr="00FE0CD8">
        <w:rPr>
          <w:rFonts w:ascii="Arial" w:hAnsi="Arial" w:cs="Arial"/>
          <w:sz w:val="20"/>
          <w:szCs w:val="20"/>
        </w:rPr>
        <w:t xml:space="preserve"> ans et prenant en compte la réforme anti-endommagement. </w:t>
      </w:r>
    </w:p>
    <w:p w:rsidR="00196160" w:rsidRPr="00FE0CD8" w:rsidRDefault="005E3C37" w:rsidP="00FE0CD8">
      <w:pPr>
        <w:pStyle w:val="Paragraphedeliste"/>
        <w:numPr>
          <w:ilvl w:val="0"/>
          <w:numId w:val="14"/>
        </w:numPr>
        <w:spacing w:line="276" w:lineRule="auto"/>
        <w:jc w:val="both"/>
        <w:rPr>
          <w:rFonts w:ascii="Arial" w:hAnsi="Arial" w:cs="Arial"/>
          <w:sz w:val="20"/>
          <w:szCs w:val="20"/>
        </w:rPr>
      </w:pPr>
      <w:r w:rsidRPr="00FE0CD8">
        <w:rPr>
          <w:rFonts w:ascii="Arial" w:hAnsi="Arial" w:cs="Arial"/>
          <w:b/>
          <w:sz w:val="20"/>
          <w:szCs w:val="20"/>
        </w:rPr>
        <w:t>Une attestation de compétence délivrée après un examen par QCM</w:t>
      </w:r>
      <w:r w:rsidRPr="00FE0CD8">
        <w:rPr>
          <w:rFonts w:ascii="Arial" w:hAnsi="Arial" w:cs="Arial"/>
          <w:sz w:val="20"/>
          <w:szCs w:val="20"/>
        </w:rPr>
        <w:t xml:space="preserve"> </w:t>
      </w:r>
      <w:r w:rsidRPr="00FE0CD8">
        <w:rPr>
          <w:rFonts w:ascii="Arial" w:hAnsi="Arial" w:cs="Arial"/>
          <w:b/>
          <w:sz w:val="20"/>
          <w:szCs w:val="20"/>
        </w:rPr>
        <w:t xml:space="preserve">datant de moins de </w:t>
      </w:r>
      <w:r w:rsidR="00E76B90" w:rsidRPr="00FE0CD8">
        <w:rPr>
          <w:rFonts w:ascii="Arial" w:hAnsi="Arial" w:cs="Arial"/>
          <w:b/>
          <w:sz w:val="20"/>
          <w:szCs w:val="20"/>
        </w:rPr>
        <w:t>cinq</w:t>
      </w:r>
      <w:r w:rsidRPr="00FE0CD8">
        <w:rPr>
          <w:rFonts w:ascii="Arial" w:hAnsi="Arial" w:cs="Arial"/>
          <w:b/>
          <w:sz w:val="20"/>
          <w:szCs w:val="20"/>
        </w:rPr>
        <w:t xml:space="preserve"> ans.</w:t>
      </w:r>
    </w:p>
    <w:p w:rsidR="00196160" w:rsidRPr="00FE0CD8" w:rsidRDefault="005E3C37" w:rsidP="00FE0CD8">
      <w:pPr>
        <w:pStyle w:val="Paragraphedeliste"/>
        <w:spacing w:line="276" w:lineRule="auto"/>
        <w:ind w:left="780"/>
        <w:jc w:val="both"/>
        <w:rPr>
          <w:rFonts w:ascii="Arial" w:hAnsi="Arial" w:cs="Arial"/>
          <w:sz w:val="20"/>
          <w:szCs w:val="20"/>
        </w:rPr>
      </w:pPr>
      <w:r w:rsidRPr="00FE0CD8">
        <w:rPr>
          <w:rFonts w:ascii="Arial" w:hAnsi="Arial" w:cs="Arial"/>
          <w:sz w:val="20"/>
          <w:szCs w:val="20"/>
        </w:rPr>
        <w:t xml:space="preserve"> Un justificatif de compétences </w:t>
      </w:r>
      <w:r w:rsidR="00050B2D" w:rsidRPr="00FE0CD8">
        <w:rPr>
          <w:rFonts w:ascii="Arial" w:hAnsi="Arial" w:cs="Arial"/>
          <w:sz w:val="20"/>
          <w:szCs w:val="20"/>
        </w:rPr>
        <w:t>équivaut</w:t>
      </w:r>
      <w:r w:rsidRPr="00FE0CD8">
        <w:rPr>
          <w:rFonts w:ascii="Arial" w:hAnsi="Arial" w:cs="Arial"/>
          <w:sz w:val="20"/>
          <w:szCs w:val="20"/>
        </w:rPr>
        <w:t xml:space="preserve"> à l’un des </w:t>
      </w:r>
      <w:r w:rsidR="00E76B90" w:rsidRPr="00FE0CD8">
        <w:rPr>
          <w:rFonts w:ascii="Arial" w:hAnsi="Arial" w:cs="Arial"/>
          <w:sz w:val="20"/>
          <w:szCs w:val="20"/>
        </w:rPr>
        <w:t>trois</w:t>
      </w:r>
      <w:r w:rsidRPr="00FE0CD8">
        <w:rPr>
          <w:rFonts w:ascii="Arial" w:hAnsi="Arial" w:cs="Arial"/>
          <w:sz w:val="20"/>
          <w:szCs w:val="20"/>
        </w:rPr>
        <w:t xml:space="preserve"> titres ci-dessus et délivré par un autre état membre de l’Union Européenne. </w:t>
      </w:r>
    </w:p>
    <w:p w:rsidR="00196160" w:rsidRPr="00FE0CD8" w:rsidRDefault="005E3C37" w:rsidP="00FE0CD8">
      <w:pPr>
        <w:pStyle w:val="Paragraphedeliste"/>
        <w:spacing w:line="276" w:lineRule="auto"/>
        <w:ind w:left="780"/>
        <w:jc w:val="both"/>
        <w:rPr>
          <w:rFonts w:ascii="Arial" w:hAnsi="Arial" w:cs="Arial"/>
          <w:sz w:val="20"/>
          <w:szCs w:val="20"/>
        </w:rPr>
      </w:pPr>
      <w:r w:rsidRPr="00FE0CD8">
        <w:rPr>
          <w:rFonts w:ascii="Arial" w:hAnsi="Arial" w:cs="Arial"/>
          <w:sz w:val="20"/>
          <w:szCs w:val="20"/>
        </w:rPr>
        <w:t xml:space="preserve">Actuellement, les CACES et autres titres ou diplômes ne prennent pas en compte la réforme anti-endommagement en totalité. </w:t>
      </w:r>
    </w:p>
    <w:p w:rsidR="00941C5E" w:rsidRDefault="005E3C37" w:rsidP="00FE0CD8">
      <w:pPr>
        <w:pStyle w:val="Paragraphedeliste"/>
        <w:spacing w:line="276" w:lineRule="auto"/>
        <w:ind w:left="780"/>
        <w:jc w:val="both"/>
        <w:rPr>
          <w:rFonts w:ascii="Arial" w:hAnsi="Arial" w:cs="Arial"/>
          <w:sz w:val="20"/>
          <w:szCs w:val="20"/>
        </w:rPr>
      </w:pPr>
      <w:r w:rsidRPr="00FE0CD8">
        <w:rPr>
          <w:rFonts w:ascii="Arial" w:hAnsi="Arial" w:cs="Arial"/>
          <w:sz w:val="20"/>
          <w:szCs w:val="20"/>
        </w:rPr>
        <w:t>Les CACES actuels permettent la délivrance de l’AIPR jusqu’en janvier 2019 et pour une durée qui ne peut être supérieure à celle de la pièce justificative</w:t>
      </w:r>
    </w:p>
    <w:p w:rsidR="00941C5E" w:rsidRDefault="00941C5E" w:rsidP="00FE0CD8">
      <w:pPr>
        <w:pStyle w:val="Paragraphedeliste"/>
        <w:spacing w:line="276" w:lineRule="auto"/>
        <w:ind w:left="780"/>
        <w:jc w:val="both"/>
        <w:rPr>
          <w:rFonts w:ascii="Arial" w:hAnsi="Arial" w:cs="Arial"/>
          <w:sz w:val="20"/>
          <w:szCs w:val="20"/>
        </w:rPr>
      </w:pPr>
    </w:p>
    <w:p w:rsidR="002F334D" w:rsidRPr="002D0EE9" w:rsidRDefault="00A12E76" w:rsidP="00FE0CD8">
      <w:pPr>
        <w:pStyle w:val="Paragraphedeliste"/>
        <w:spacing w:line="276" w:lineRule="auto"/>
        <w:ind w:left="780"/>
        <w:jc w:val="both"/>
        <w:rPr>
          <w:sz w:val="24"/>
          <w:szCs w:val="24"/>
        </w:rPr>
      </w:pPr>
      <w:r w:rsidRPr="002D0EE9">
        <w:rPr>
          <w:noProof/>
          <w:sz w:val="24"/>
          <w:szCs w:val="24"/>
          <w:lang w:eastAsia="fr-FR"/>
        </w:rPr>
        <mc:AlternateContent>
          <mc:Choice Requires="wps">
            <w:drawing>
              <wp:anchor distT="0" distB="0" distL="114300" distR="114300" simplePos="0" relativeHeight="251659264" behindDoc="0" locked="0" layoutInCell="1" allowOverlap="1" wp14:anchorId="596E6A6F" wp14:editId="7BF6123E">
                <wp:simplePos x="0" y="0"/>
                <wp:positionH relativeFrom="page">
                  <wp:posOffset>7844790</wp:posOffset>
                </wp:positionH>
                <wp:positionV relativeFrom="margin">
                  <wp:posOffset>440055</wp:posOffset>
                </wp:positionV>
                <wp:extent cx="2200275" cy="664210"/>
                <wp:effectExtent l="0" t="0" r="0" b="254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664210"/>
                        </a:xfrm>
                        <a:prstGeom prst="rect">
                          <a:avLst/>
                        </a:prstGeom>
                        <a:solidFill>
                          <a:srgbClr val="FFFFFF"/>
                        </a:solidFill>
                        <a:ln w="9525">
                          <a:noFill/>
                          <a:miter lim="800000"/>
                          <a:headEnd/>
                          <a:tailEnd/>
                        </a:ln>
                      </wps:spPr>
                      <wps:txbx>
                        <w:txbxContent>
                          <w:p w:rsidR="004804CC" w:rsidRDefault="004804CC" w:rsidP="00A12E76">
                            <w:pPr>
                              <w:spacing w:after="240"/>
                              <w:rPr>
                                <w:rFonts w:ascii="Arial" w:hAnsi="Arial" w:cs="Arial"/>
                                <w:sz w:val="20"/>
                                <w:szCs w:val="20"/>
                              </w:rPr>
                            </w:pPr>
                            <w:r>
                              <w:rPr>
                                <w:rFonts w:ascii="Arial" w:hAnsi="Arial" w:cs="Arial"/>
                                <w:sz w:val="20"/>
                                <w:szCs w:val="20"/>
                              </w:rPr>
                              <w:t>Service Prévention et Sécurité au Travail</w:t>
                            </w:r>
                            <w:r>
                              <w:rPr>
                                <w:rFonts w:ascii="Arial" w:hAnsi="Arial" w:cs="Arial"/>
                                <w:sz w:val="20"/>
                                <w:szCs w:val="20"/>
                              </w:rPr>
                              <w:br/>
                              <w:t>Fiche Santé et Travail n° 118</w:t>
                            </w:r>
                            <w:r>
                              <w:rPr>
                                <w:rFonts w:ascii="Arial" w:hAnsi="Arial" w:cs="Arial"/>
                                <w:sz w:val="20"/>
                                <w:szCs w:val="20"/>
                              </w:rPr>
                              <w:br/>
                              <w:t>Date : 22/08/2016_VF</w:t>
                            </w:r>
                          </w:p>
                          <w:p w:rsidR="004804CC" w:rsidRPr="00E02ACC" w:rsidRDefault="004804CC" w:rsidP="00A12E76">
                            <w:pPr>
                              <w:pStyle w:val="Texte1"/>
                              <w:rPr>
                                <w:sz w:val="22"/>
                              </w:rPr>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A9A099F" id="Zone de texte 307" o:spid="_x0000_s1029" type="#_x0000_t202" style="position:absolute;left:0;text-align:left;margin-left:617.7pt;margin-top:34.65pt;width:173.25pt;height:52.3pt;z-index:251659264;visibility:visible;mso-wrap-style:square;mso-width-percent:400;mso-height-percent:0;mso-wrap-distance-left:9pt;mso-wrap-distance-top:0;mso-wrap-distance-right:9pt;mso-wrap-distance-bottom:0;mso-position-horizontal:absolute;mso-position-horizontal-relative:page;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" stroked="f">
                <v:textbox inset="0,0,0,0">
                  <w:txbxContent>
                    <w:p w:rsidR="004804CC" w:rsidRDefault="004804CC" w:rsidP="00A12E76">
                      <w:pPr>
                        <w:spacing w:after="240"/>
                        <w:rPr>
                          <w:rFonts w:ascii="Arial" w:hAnsi="Arial" w:cs="Arial"/>
                          <w:sz w:val="20"/>
                          <w:szCs w:val="20"/>
                        </w:rPr>
                      </w:pPr>
                      <w:r>
                        <w:rPr>
                          <w:rFonts w:ascii="Arial" w:hAnsi="Arial" w:cs="Arial"/>
                          <w:sz w:val="20"/>
                          <w:szCs w:val="20"/>
                        </w:rPr>
                        <w:t>Service Prévention et Sécurité au Travail</w:t>
                      </w:r>
                      <w:r>
                        <w:rPr>
                          <w:rFonts w:ascii="Arial" w:hAnsi="Arial" w:cs="Arial"/>
                          <w:sz w:val="20"/>
                          <w:szCs w:val="20"/>
                        </w:rPr>
                        <w:br/>
                        <w:t>Fiche Santé et Travail n° 118</w:t>
                      </w:r>
                      <w:r>
                        <w:rPr>
                          <w:rFonts w:ascii="Arial" w:hAnsi="Arial" w:cs="Arial"/>
                          <w:sz w:val="20"/>
                          <w:szCs w:val="20"/>
                        </w:rPr>
                        <w:br/>
                        <w:t>Date : 22/08/2016_VF</w:t>
                      </w:r>
                    </w:p>
                    <w:p w:rsidR="004804CC" w:rsidRPr="00E02ACC" w:rsidRDefault="004804CC" w:rsidP="00A12E76">
                      <w:pPr>
                        <w:pStyle w:val="Texte1"/>
                        <w:rPr>
                          <w:sz w:val="22"/>
                        </w:rPr>
                      </w:pPr>
                    </w:p>
                  </w:txbxContent>
                </v:textbox>
                <w10:wrap anchorx="page" anchory="margin"/>
              </v:shape>
            </w:pict>
          </mc:Fallback>
        </mc:AlternateContent>
      </w:r>
    </w:p>
    <w:p w:rsidR="00196160" w:rsidRPr="00FE0CD8" w:rsidRDefault="00196160" w:rsidP="00196160">
      <w:pPr>
        <w:rPr>
          <w:rFonts w:ascii="Arial Black" w:hAnsi="Arial Black" w:cs="Arial"/>
          <w:b/>
          <w:color w:val="C64A25" w:themeColor="accent1"/>
          <w:sz w:val="28"/>
          <w:szCs w:val="24"/>
        </w:rPr>
      </w:pPr>
      <w:r w:rsidRPr="00FE0CD8">
        <w:rPr>
          <w:rFonts w:ascii="Arial Black" w:hAnsi="Arial Black" w:cs="Arial"/>
          <w:b/>
          <w:color w:val="C64A25" w:themeColor="accent1"/>
          <w:sz w:val="28"/>
          <w:szCs w:val="24"/>
        </w:rPr>
        <w:t>Quelle est la durée de validité de l’AIPR ?</w:t>
      </w:r>
    </w:p>
    <w:p w:rsidR="00196160" w:rsidRPr="00FE0CD8" w:rsidRDefault="00196160" w:rsidP="00FE0CD8">
      <w:pPr>
        <w:spacing w:line="240" w:lineRule="auto"/>
        <w:jc w:val="both"/>
        <w:rPr>
          <w:rFonts w:ascii="Arial" w:hAnsi="Arial" w:cs="Arial"/>
          <w:sz w:val="20"/>
          <w:szCs w:val="20"/>
        </w:rPr>
      </w:pPr>
      <w:r w:rsidRPr="00FE0CD8">
        <w:rPr>
          <w:rFonts w:ascii="Arial" w:hAnsi="Arial" w:cs="Arial"/>
          <w:sz w:val="20"/>
          <w:szCs w:val="20"/>
        </w:rPr>
        <w:t>Dans le cas de la référence à un CACES, la limite de validité de l'AIPR ne peut dépasser la limite de validité du CACES.</w:t>
      </w:r>
    </w:p>
    <w:p w:rsidR="00196160" w:rsidRPr="00FE0CD8" w:rsidRDefault="00196160" w:rsidP="00FE0CD8">
      <w:pPr>
        <w:spacing w:line="240" w:lineRule="auto"/>
        <w:jc w:val="both"/>
        <w:rPr>
          <w:rFonts w:ascii="Arial" w:hAnsi="Arial" w:cs="Arial"/>
          <w:sz w:val="20"/>
          <w:szCs w:val="20"/>
        </w:rPr>
      </w:pPr>
      <w:r w:rsidRPr="00FE0CD8">
        <w:rPr>
          <w:rFonts w:ascii="Arial" w:hAnsi="Arial" w:cs="Arial"/>
          <w:sz w:val="20"/>
          <w:szCs w:val="20"/>
        </w:rPr>
        <w:t>Dans le cas de la référence à un autre titre, diplôme</w:t>
      </w:r>
      <w:r w:rsidR="002D0EE9" w:rsidRPr="00FE0CD8">
        <w:rPr>
          <w:rFonts w:ascii="Arial" w:hAnsi="Arial" w:cs="Arial"/>
          <w:sz w:val="20"/>
          <w:szCs w:val="20"/>
        </w:rPr>
        <w:t xml:space="preserve"> ou certificat de qualification </w:t>
      </w:r>
      <w:r w:rsidRPr="00FE0CD8">
        <w:rPr>
          <w:rFonts w:ascii="Arial" w:hAnsi="Arial" w:cs="Arial"/>
          <w:sz w:val="20"/>
          <w:szCs w:val="20"/>
        </w:rPr>
        <w:t xml:space="preserve">professionnelle, la limite de validité de l'AIPR ne peut dépasser </w:t>
      </w:r>
      <w:r w:rsidR="00E76B90" w:rsidRPr="00FE0CD8">
        <w:rPr>
          <w:rFonts w:ascii="Arial" w:hAnsi="Arial" w:cs="Arial"/>
          <w:sz w:val="20"/>
          <w:szCs w:val="20"/>
        </w:rPr>
        <w:t>cinq</w:t>
      </w:r>
      <w:r w:rsidRPr="00FE0CD8">
        <w:rPr>
          <w:rFonts w:ascii="Arial" w:hAnsi="Arial" w:cs="Arial"/>
          <w:sz w:val="20"/>
          <w:szCs w:val="20"/>
        </w:rPr>
        <w:t xml:space="preserve"> ans après la délivrance de ce titre, diplôme ou certificat de qualification professionnelle.</w:t>
      </w:r>
    </w:p>
    <w:p w:rsidR="00941C5E" w:rsidRDefault="00196160" w:rsidP="00941C5E">
      <w:pPr>
        <w:spacing w:line="240" w:lineRule="auto"/>
        <w:jc w:val="both"/>
        <w:rPr>
          <w:rFonts w:ascii="Arial" w:hAnsi="Arial" w:cs="Arial"/>
          <w:sz w:val="20"/>
          <w:szCs w:val="20"/>
        </w:rPr>
      </w:pPr>
      <w:r w:rsidRPr="00FE0CD8">
        <w:rPr>
          <w:rFonts w:ascii="Arial" w:hAnsi="Arial" w:cs="Arial"/>
          <w:sz w:val="20"/>
          <w:szCs w:val="20"/>
        </w:rPr>
        <w:t xml:space="preserve">Dans le cas de la référence à une attestation de compétences obtenue après examen par QCM, la limite de validité de l'AIPR ne peut dépasser la limite de validité de l'attestation de compétences, qui est elle-même de </w:t>
      </w:r>
      <w:r w:rsidR="00E76B90" w:rsidRPr="00FE0CD8">
        <w:rPr>
          <w:rFonts w:ascii="Arial" w:hAnsi="Arial" w:cs="Arial"/>
          <w:sz w:val="20"/>
          <w:szCs w:val="20"/>
        </w:rPr>
        <w:t>cinq</w:t>
      </w:r>
      <w:r w:rsidRPr="00FE0CD8">
        <w:rPr>
          <w:rFonts w:ascii="Arial" w:hAnsi="Arial" w:cs="Arial"/>
          <w:sz w:val="20"/>
          <w:szCs w:val="20"/>
        </w:rPr>
        <w:t xml:space="preserve"> ans.</w:t>
      </w:r>
    </w:p>
    <w:p w:rsidR="00941C5E" w:rsidRDefault="00941C5E">
      <w:pPr>
        <w:rPr>
          <w:rFonts w:ascii="Arial" w:hAnsi="Arial" w:cs="Arial"/>
          <w:sz w:val="20"/>
          <w:szCs w:val="20"/>
        </w:rPr>
      </w:pPr>
      <w:r>
        <w:rPr>
          <w:rFonts w:ascii="Arial" w:hAnsi="Arial" w:cs="Arial"/>
          <w:sz w:val="20"/>
          <w:szCs w:val="20"/>
        </w:rPr>
        <w:br w:type="page"/>
      </w:r>
    </w:p>
    <w:p w:rsidR="00AE5C7A" w:rsidRPr="00FE0CD8" w:rsidRDefault="00AE5C7A" w:rsidP="00FE0CD8">
      <w:pPr>
        <w:spacing w:line="240" w:lineRule="auto"/>
        <w:jc w:val="both"/>
        <w:rPr>
          <w:rFonts w:ascii="Arial" w:hAnsi="Arial" w:cs="Arial"/>
          <w:sz w:val="20"/>
          <w:szCs w:val="20"/>
        </w:rPr>
      </w:pPr>
    </w:p>
    <w:p w:rsidR="00AE5C7A" w:rsidRPr="00FE0CD8" w:rsidRDefault="00AE5C7A" w:rsidP="00FE0CD8">
      <w:pPr>
        <w:spacing w:line="240" w:lineRule="auto"/>
        <w:jc w:val="both"/>
        <w:rPr>
          <w:rFonts w:ascii="Arial Black" w:hAnsi="Arial Black" w:cs="Arial"/>
          <w:color w:val="C64A25" w:themeColor="accent1"/>
          <w:sz w:val="28"/>
          <w:szCs w:val="24"/>
        </w:rPr>
      </w:pPr>
      <w:r w:rsidRPr="00FE0CD8">
        <w:rPr>
          <w:rFonts w:ascii="Arial Black" w:hAnsi="Arial Black" w:cs="Arial"/>
          <w:b/>
          <w:color w:val="C64A25" w:themeColor="accent1"/>
          <w:sz w:val="28"/>
          <w:szCs w:val="24"/>
        </w:rPr>
        <w:t>Comment inscrire des agents à l'examen par QCM (Attestation de compétence) ?</w:t>
      </w:r>
      <w:r w:rsidRPr="00FE0CD8">
        <w:rPr>
          <w:rFonts w:ascii="Arial Black" w:hAnsi="Arial Black" w:cs="Arial"/>
          <w:color w:val="C64A25" w:themeColor="accent1"/>
          <w:sz w:val="28"/>
          <w:szCs w:val="24"/>
        </w:rPr>
        <w:t xml:space="preserve"> </w:t>
      </w:r>
    </w:p>
    <w:p w:rsidR="00AE5C7A" w:rsidRPr="00FE0CD8" w:rsidRDefault="00AE5C7A" w:rsidP="00FE0CD8">
      <w:pPr>
        <w:spacing w:line="240" w:lineRule="auto"/>
        <w:ind w:left="708"/>
        <w:jc w:val="both"/>
        <w:rPr>
          <w:rFonts w:ascii="Arial" w:hAnsi="Arial" w:cs="Arial"/>
          <w:sz w:val="20"/>
          <w:szCs w:val="20"/>
        </w:rPr>
      </w:pPr>
      <w:r w:rsidRPr="00FE0CD8">
        <w:rPr>
          <w:rFonts w:ascii="Arial" w:hAnsi="Arial" w:cs="Arial"/>
          <w:sz w:val="20"/>
          <w:szCs w:val="20"/>
        </w:rPr>
        <w:t>Il convient de s’assurer que les agents concernés disposent des compétences suffisantes en matière de préparation ou exécution des travaux à proximité des réseaux, puis leur faire passer l'examen par QCM.</w:t>
      </w:r>
    </w:p>
    <w:p w:rsidR="00AE5C7A" w:rsidRPr="00FE0CD8" w:rsidRDefault="00AE5C7A" w:rsidP="00FE0CD8">
      <w:pPr>
        <w:spacing w:line="240" w:lineRule="auto"/>
        <w:ind w:firstLine="708"/>
        <w:jc w:val="both"/>
        <w:rPr>
          <w:rFonts w:ascii="Arial" w:hAnsi="Arial" w:cs="Arial"/>
          <w:sz w:val="20"/>
          <w:szCs w:val="20"/>
        </w:rPr>
      </w:pPr>
      <w:r w:rsidRPr="00FE0CD8">
        <w:rPr>
          <w:rFonts w:ascii="Arial" w:hAnsi="Arial" w:cs="Arial"/>
          <w:sz w:val="20"/>
          <w:szCs w:val="20"/>
        </w:rPr>
        <w:t xml:space="preserve"> A noter : Le CNFPT n’est pas centre d’examen mais peut préparer les agents au QCM. </w:t>
      </w:r>
    </w:p>
    <w:p w:rsidR="00AE5C7A" w:rsidRPr="00FE0CD8" w:rsidRDefault="00AE5C7A" w:rsidP="00FE0CD8">
      <w:pPr>
        <w:spacing w:line="240" w:lineRule="auto"/>
        <w:ind w:left="708"/>
        <w:jc w:val="both"/>
        <w:rPr>
          <w:rFonts w:ascii="Arial" w:hAnsi="Arial" w:cs="Arial"/>
          <w:sz w:val="20"/>
          <w:szCs w:val="20"/>
        </w:rPr>
      </w:pPr>
      <w:r w:rsidRPr="00FE0CD8">
        <w:rPr>
          <w:rFonts w:ascii="Arial" w:hAnsi="Arial" w:cs="Arial"/>
          <w:sz w:val="20"/>
          <w:szCs w:val="20"/>
        </w:rPr>
        <w:t xml:space="preserve">Le passage de l’examen étant facturé à la collectivité, il conviendra de désigner un centre </w:t>
      </w:r>
      <w:r w:rsidR="00E76B90" w:rsidRPr="00FE0CD8">
        <w:rPr>
          <w:rFonts w:ascii="Arial" w:hAnsi="Arial" w:cs="Arial"/>
          <w:sz w:val="20"/>
          <w:szCs w:val="20"/>
        </w:rPr>
        <w:t xml:space="preserve">d’examen </w:t>
      </w:r>
      <w:r w:rsidRPr="00FE0CD8">
        <w:rPr>
          <w:rFonts w:ascii="Arial" w:hAnsi="Arial" w:cs="Arial"/>
          <w:sz w:val="20"/>
          <w:szCs w:val="20"/>
        </w:rPr>
        <w:t xml:space="preserve">dans le respect des règles de la commande publique. L’employeur doit précisément indiquer au centre d'examen le profil requis pour chaque agent. En outre, dans le cas d'un examen pour le profil </w:t>
      </w:r>
      <w:r w:rsidR="00E76B90" w:rsidRPr="00FE0CD8">
        <w:rPr>
          <w:rFonts w:ascii="Arial" w:hAnsi="Arial" w:cs="Arial"/>
          <w:sz w:val="20"/>
          <w:szCs w:val="20"/>
        </w:rPr>
        <w:t>« </w:t>
      </w:r>
      <w:r w:rsidRPr="00FE0CD8">
        <w:rPr>
          <w:rFonts w:ascii="Arial" w:hAnsi="Arial" w:cs="Arial"/>
          <w:sz w:val="20"/>
          <w:szCs w:val="20"/>
        </w:rPr>
        <w:t>opérateur</w:t>
      </w:r>
      <w:r w:rsidR="00E76B90" w:rsidRPr="00FE0CD8">
        <w:rPr>
          <w:rFonts w:ascii="Arial" w:hAnsi="Arial" w:cs="Arial"/>
          <w:sz w:val="20"/>
          <w:szCs w:val="20"/>
        </w:rPr>
        <w:t> »</w:t>
      </w:r>
      <w:r w:rsidRPr="00FE0CD8">
        <w:rPr>
          <w:rFonts w:ascii="Arial" w:hAnsi="Arial" w:cs="Arial"/>
          <w:sz w:val="20"/>
          <w:szCs w:val="20"/>
        </w:rPr>
        <w:t xml:space="preserve">, l’employeur doit indiquer si l’agent concerné présente des difficultés de lecture et doit à ce titre bénéficier d'une lecture des questions et réponses possibles par un représentant du centre d'examen. </w:t>
      </w:r>
    </w:p>
    <w:p w:rsidR="00AE5C7A" w:rsidRPr="00FE0CD8" w:rsidRDefault="00AE5C7A" w:rsidP="00FE0CD8">
      <w:pPr>
        <w:spacing w:line="240" w:lineRule="auto"/>
        <w:ind w:left="708"/>
        <w:jc w:val="both"/>
        <w:rPr>
          <w:rFonts w:ascii="Arial" w:hAnsi="Arial" w:cs="Arial"/>
          <w:sz w:val="20"/>
          <w:szCs w:val="20"/>
        </w:rPr>
      </w:pPr>
      <w:r w:rsidRPr="00FE0CD8">
        <w:rPr>
          <w:rFonts w:ascii="Arial" w:hAnsi="Arial" w:cs="Arial"/>
          <w:sz w:val="20"/>
          <w:szCs w:val="20"/>
        </w:rPr>
        <w:t>En cas de réussite à l’examen par QCM, le centre d’examen délivre une attestation de compétences. Sur le fondement de cette attestation de compétences, l’employeur peut délivrer à l’agent une AIPR dont le délai de validité ne peut dépasser le délai de validité de l’attestation de compétences.</w:t>
      </w:r>
    </w:p>
    <w:p w:rsidR="005B035C" w:rsidRDefault="005B035C" w:rsidP="005B035C">
      <w:pPr>
        <w:spacing w:line="240" w:lineRule="auto"/>
      </w:pPr>
    </w:p>
    <w:p w:rsidR="004F35C3" w:rsidRPr="00FE0CD8" w:rsidRDefault="004F35C3" w:rsidP="00FE0CD8">
      <w:pPr>
        <w:pStyle w:val="Titre1"/>
        <w:rPr>
          <w:rFonts w:ascii="Arial Black" w:hAnsi="Arial Black"/>
          <w:color w:val="C64A25" w:themeColor="accent1"/>
        </w:rPr>
      </w:pPr>
      <w:r w:rsidRPr="00FE0CD8">
        <w:rPr>
          <w:rFonts w:ascii="Arial Black" w:hAnsi="Arial Black"/>
          <w:color w:val="C64A25" w:themeColor="accent1"/>
        </w:rPr>
        <w:t>Le suivi de l’AIPR</w:t>
      </w:r>
    </w:p>
    <w:p w:rsidR="004F35C3" w:rsidRPr="00FE0CD8" w:rsidRDefault="004F35C3" w:rsidP="004F35C3">
      <w:pPr>
        <w:spacing w:line="240" w:lineRule="auto"/>
        <w:rPr>
          <w:rFonts w:ascii="Arial" w:hAnsi="Arial" w:cs="Arial"/>
          <w:sz w:val="20"/>
          <w:szCs w:val="20"/>
        </w:rPr>
      </w:pPr>
      <w:r w:rsidRPr="00FE0CD8">
        <w:rPr>
          <w:rFonts w:ascii="Arial" w:hAnsi="Arial" w:cs="Arial"/>
          <w:sz w:val="20"/>
          <w:szCs w:val="20"/>
        </w:rPr>
        <w:t>Les contrôles :</w:t>
      </w:r>
    </w:p>
    <w:p w:rsidR="004F35C3" w:rsidRPr="00FE0CD8" w:rsidRDefault="004F35C3" w:rsidP="004F35C3">
      <w:pPr>
        <w:spacing w:line="240" w:lineRule="auto"/>
        <w:rPr>
          <w:rFonts w:ascii="Arial" w:hAnsi="Arial" w:cs="Arial"/>
          <w:sz w:val="20"/>
          <w:szCs w:val="20"/>
        </w:rPr>
      </w:pPr>
      <w:r w:rsidRPr="00FE0CD8">
        <w:rPr>
          <w:rFonts w:ascii="Arial" w:hAnsi="Arial" w:cs="Arial"/>
          <w:sz w:val="20"/>
          <w:szCs w:val="20"/>
        </w:rPr>
        <w:t>L’AIPR est tenu</w:t>
      </w:r>
      <w:r w:rsidR="00E76B90" w:rsidRPr="00FE0CD8">
        <w:rPr>
          <w:rFonts w:ascii="Arial" w:hAnsi="Arial" w:cs="Arial"/>
          <w:sz w:val="20"/>
          <w:szCs w:val="20"/>
        </w:rPr>
        <w:t>e</w:t>
      </w:r>
      <w:r w:rsidRPr="00FE0CD8">
        <w:rPr>
          <w:rFonts w:ascii="Arial" w:hAnsi="Arial" w:cs="Arial"/>
          <w:sz w:val="20"/>
          <w:szCs w:val="20"/>
        </w:rPr>
        <w:t xml:space="preserve"> à disposition de :</w:t>
      </w:r>
      <w:bookmarkStart w:id="0" w:name="_GoBack"/>
      <w:bookmarkEnd w:id="0"/>
    </w:p>
    <w:p w:rsidR="004F35C3" w:rsidRPr="00FE0CD8" w:rsidRDefault="004F35C3" w:rsidP="004F35C3">
      <w:pPr>
        <w:pStyle w:val="Paragraphedeliste"/>
        <w:numPr>
          <w:ilvl w:val="0"/>
          <w:numId w:val="18"/>
        </w:numPr>
        <w:spacing w:line="240" w:lineRule="auto"/>
        <w:rPr>
          <w:rFonts w:ascii="Arial" w:hAnsi="Arial" w:cs="Arial"/>
          <w:sz w:val="20"/>
          <w:szCs w:val="20"/>
        </w:rPr>
      </w:pPr>
      <w:r w:rsidRPr="00FE0CD8">
        <w:rPr>
          <w:rFonts w:ascii="Arial" w:hAnsi="Arial" w:cs="Arial"/>
          <w:sz w:val="20"/>
          <w:szCs w:val="20"/>
        </w:rPr>
        <w:t>L’inspection du travail</w:t>
      </w:r>
    </w:p>
    <w:p w:rsidR="004F35C3" w:rsidRPr="00FE0CD8" w:rsidRDefault="004F35C3" w:rsidP="004F35C3">
      <w:pPr>
        <w:pStyle w:val="Paragraphedeliste"/>
        <w:numPr>
          <w:ilvl w:val="0"/>
          <w:numId w:val="18"/>
        </w:numPr>
        <w:spacing w:line="240" w:lineRule="auto"/>
        <w:rPr>
          <w:rFonts w:ascii="Arial" w:hAnsi="Arial" w:cs="Arial"/>
          <w:sz w:val="20"/>
          <w:szCs w:val="20"/>
        </w:rPr>
      </w:pPr>
      <w:r w:rsidRPr="00FE0CD8">
        <w:rPr>
          <w:rFonts w:ascii="Arial" w:hAnsi="Arial" w:cs="Arial"/>
          <w:sz w:val="20"/>
          <w:szCs w:val="20"/>
        </w:rPr>
        <w:t>Des agents des services de prévention</w:t>
      </w:r>
    </w:p>
    <w:p w:rsidR="004F35C3" w:rsidRPr="00FE0CD8" w:rsidRDefault="004F35C3" w:rsidP="004F35C3">
      <w:pPr>
        <w:pStyle w:val="Paragraphedeliste"/>
        <w:numPr>
          <w:ilvl w:val="0"/>
          <w:numId w:val="18"/>
        </w:numPr>
        <w:spacing w:line="240" w:lineRule="auto"/>
        <w:rPr>
          <w:rFonts w:ascii="Arial" w:hAnsi="Arial" w:cs="Arial"/>
          <w:sz w:val="20"/>
          <w:szCs w:val="20"/>
        </w:rPr>
      </w:pPr>
      <w:r w:rsidRPr="00FE0CD8">
        <w:rPr>
          <w:rFonts w:ascii="Arial" w:hAnsi="Arial" w:cs="Arial"/>
          <w:sz w:val="20"/>
          <w:szCs w:val="20"/>
        </w:rPr>
        <w:t>Des organismes de sécurité sociale</w:t>
      </w:r>
    </w:p>
    <w:p w:rsidR="004F35C3" w:rsidRPr="00FE0CD8" w:rsidRDefault="004F35C3" w:rsidP="004F35C3">
      <w:pPr>
        <w:pStyle w:val="Paragraphedeliste"/>
        <w:numPr>
          <w:ilvl w:val="0"/>
          <w:numId w:val="18"/>
        </w:numPr>
        <w:spacing w:line="240" w:lineRule="auto"/>
        <w:rPr>
          <w:rFonts w:ascii="Arial" w:hAnsi="Arial" w:cs="Arial"/>
          <w:sz w:val="20"/>
          <w:szCs w:val="20"/>
        </w:rPr>
      </w:pPr>
      <w:r w:rsidRPr="00FE0CD8">
        <w:rPr>
          <w:rFonts w:ascii="Arial" w:hAnsi="Arial" w:cs="Arial"/>
          <w:sz w:val="20"/>
          <w:szCs w:val="20"/>
        </w:rPr>
        <w:t>Des agents de la DREAL</w:t>
      </w:r>
    </w:p>
    <w:p w:rsidR="004F35C3" w:rsidRPr="00FE0CD8" w:rsidRDefault="004F35C3" w:rsidP="004F35C3">
      <w:pPr>
        <w:spacing w:line="240" w:lineRule="auto"/>
        <w:rPr>
          <w:rFonts w:ascii="Arial" w:hAnsi="Arial" w:cs="Arial"/>
          <w:sz w:val="20"/>
          <w:szCs w:val="20"/>
        </w:rPr>
      </w:pPr>
      <w:r w:rsidRPr="00FE0CD8">
        <w:rPr>
          <w:rFonts w:ascii="Arial" w:hAnsi="Arial" w:cs="Arial"/>
          <w:sz w:val="20"/>
          <w:szCs w:val="20"/>
        </w:rPr>
        <w:t>Les sanctions possibles :</w:t>
      </w:r>
    </w:p>
    <w:p w:rsidR="004F35C3" w:rsidRPr="00FE0CD8" w:rsidRDefault="004F35C3" w:rsidP="00FE0CD8">
      <w:pPr>
        <w:pStyle w:val="Paragraphedeliste"/>
        <w:numPr>
          <w:ilvl w:val="0"/>
          <w:numId w:val="18"/>
        </w:numPr>
        <w:spacing w:line="240" w:lineRule="auto"/>
        <w:jc w:val="both"/>
        <w:rPr>
          <w:rFonts w:ascii="Arial" w:hAnsi="Arial" w:cs="Arial"/>
          <w:sz w:val="20"/>
          <w:szCs w:val="20"/>
        </w:rPr>
      </w:pPr>
      <w:r w:rsidRPr="00FE0CD8">
        <w:rPr>
          <w:rFonts w:ascii="Arial" w:hAnsi="Arial" w:cs="Arial"/>
          <w:sz w:val="20"/>
          <w:szCs w:val="20"/>
        </w:rPr>
        <w:t>Une amende administrative dont le montant ne peut être supérieur à 1</w:t>
      </w:r>
      <w:r w:rsidR="00E76B90" w:rsidRPr="00FE0CD8">
        <w:rPr>
          <w:rFonts w:ascii="Arial" w:hAnsi="Arial" w:cs="Arial"/>
          <w:sz w:val="20"/>
          <w:szCs w:val="20"/>
        </w:rPr>
        <w:t xml:space="preserve"> </w:t>
      </w:r>
      <w:r w:rsidRPr="00FE0CD8">
        <w:rPr>
          <w:rFonts w:ascii="Arial" w:hAnsi="Arial" w:cs="Arial"/>
          <w:sz w:val="20"/>
          <w:szCs w:val="20"/>
        </w:rPr>
        <w:t xml:space="preserve">500 </w:t>
      </w:r>
      <w:r w:rsidR="00E76B90" w:rsidRPr="00FE0CD8">
        <w:rPr>
          <w:rFonts w:ascii="Arial" w:hAnsi="Arial" w:cs="Arial"/>
          <w:sz w:val="20"/>
          <w:szCs w:val="20"/>
        </w:rPr>
        <w:t>euros</w:t>
      </w:r>
      <w:r w:rsidRPr="00FE0CD8">
        <w:rPr>
          <w:rFonts w:ascii="Arial" w:hAnsi="Arial" w:cs="Arial"/>
          <w:sz w:val="20"/>
          <w:szCs w:val="20"/>
        </w:rPr>
        <w:t xml:space="preserve"> peut être appliqué au responsable de projet ou à l’exécutant des travaux employant une personne qui ne disposerait pas de l’AIPR alors qu’elle y est soumise. (Article R. 554-35 10 (du code de l’environnement)</w:t>
      </w:r>
    </w:p>
    <w:p w:rsidR="004F35C3" w:rsidRPr="00FE0CD8" w:rsidRDefault="004F35C3" w:rsidP="004F35C3">
      <w:pPr>
        <w:pStyle w:val="Paragraphedeliste"/>
        <w:numPr>
          <w:ilvl w:val="0"/>
          <w:numId w:val="18"/>
        </w:numPr>
        <w:spacing w:line="240" w:lineRule="auto"/>
        <w:rPr>
          <w:rFonts w:ascii="Arial" w:hAnsi="Arial" w:cs="Arial"/>
          <w:sz w:val="20"/>
          <w:szCs w:val="20"/>
        </w:rPr>
      </w:pPr>
      <w:r w:rsidRPr="00FE0CD8">
        <w:rPr>
          <w:rFonts w:ascii="Arial" w:hAnsi="Arial" w:cs="Arial"/>
          <w:sz w:val="20"/>
          <w:szCs w:val="20"/>
        </w:rPr>
        <w:t>Ce montant peut être doublé en cas de récidive.</w:t>
      </w:r>
      <w:r w:rsidRPr="00FE0CD8">
        <w:rPr>
          <w:rFonts w:ascii="Arial" w:hAnsi="Arial" w:cs="Arial"/>
          <w:sz w:val="20"/>
          <w:szCs w:val="20"/>
        </w:rPr>
        <w:cr/>
      </w:r>
    </w:p>
    <w:p w:rsidR="004F35C3" w:rsidRDefault="004F35C3" w:rsidP="00FE0CD8">
      <w:pPr>
        <w:spacing w:line="240" w:lineRule="auto"/>
        <w:ind w:left="360"/>
        <w:jc w:val="center"/>
      </w:pPr>
      <w:r>
        <w:rPr>
          <w:noProof/>
          <w:lang w:eastAsia="fr-FR"/>
        </w:rPr>
        <w:drawing>
          <wp:inline distT="0" distB="0" distL="0" distR="0" wp14:anchorId="07387053" wp14:editId="1B39D98D">
            <wp:extent cx="5462772" cy="7708375"/>
            <wp:effectExtent l="0" t="0" r="508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67777" cy="7715438"/>
                    </a:xfrm>
                    <a:prstGeom prst="rect">
                      <a:avLst/>
                    </a:prstGeom>
                  </pic:spPr>
                </pic:pic>
              </a:graphicData>
            </a:graphic>
          </wp:inline>
        </w:drawing>
      </w:r>
    </w:p>
    <w:p w:rsidR="00FC6E70" w:rsidRDefault="00FC6E70" w:rsidP="00196160">
      <w:pPr>
        <w:spacing w:line="240" w:lineRule="auto"/>
      </w:pPr>
    </w:p>
    <w:p w:rsidR="00AE5C7A" w:rsidRPr="00196160" w:rsidRDefault="00AE5C7A" w:rsidP="00196160">
      <w:pPr>
        <w:spacing w:line="240" w:lineRule="auto"/>
        <w:rPr>
          <w:sz w:val="28"/>
        </w:rPr>
      </w:pPr>
    </w:p>
    <w:sectPr w:rsidR="00AE5C7A" w:rsidRPr="00196160" w:rsidSect="00FE0CD8">
      <w:headerReference w:type="default" r:id="rId12"/>
      <w:footerReference w:type="default" r:id="rId13"/>
      <w:headerReference w:type="first" r:id="rId14"/>
      <w:pgSz w:w="11906" w:h="16838"/>
      <w:pgMar w:top="1276" w:right="849" w:bottom="567" w:left="567" w:header="680" w:footer="22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4CC" w:rsidRDefault="004804CC" w:rsidP="00945703">
      <w:pPr>
        <w:spacing w:after="0" w:line="240" w:lineRule="auto"/>
      </w:pPr>
      <w:r>
        <w:separator/>
      </w:r>
    </w:p>
  </w:endnote>
  <w:endnote w:type="continuationSeparator" w:id="0">
    <w:p w:rsidR="004804CC" w:rsidRDefault="004804CC" w:rsidP="0094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367905885"/>
      <w:docPartObj>
        <w:docPartGallery w:val="Page Numbers (Bottom of Page)"/>
        <w:docPartUnique/>
      </w:docPartObj>
    </w:sdtPr>
    <w:sdtEndPr/>
    <w:sdtContent>
      <w:p w:rsidR="00AD73CD" w:rsidRPr="00FE0CD8" w:rsidRDefault="00AD73CD" w:rsidP="00AD73CD">
        <w:pPr>
          <w:pStyle w:val="Pieddepage"/>
          <w:jc w:val="both"/>
          <w:rPr>
            <w:rFonts w:ascii="Arial" w:hAnsi="Arial" w:cs="Arial"/>
            <w:sz w:val="16"/>
            <w:szCs w:val="16"/>
          </w:rPr>
        </w:pPr>
        <w:r w:rsidRPr="00AD73CD">
          <w:rPr>
            <w:color w:val="002060"/>
            <w:sz w:val="12"/>
          </w:rPr>
          <w:t xml:space="preserve"> </w:t>
        </w:r>
        <w:r w:rsidRPr="00FE0CD8">
          <w:rPr>
            <w:rFonts w:ascii="Arial" w:hAnsi="Arial" w:cs="Arial"/>
            <w:sz w:val="16"/>
            <w:szCs w:val="16"/>
          </w:rPr>
          <w:t>Version de juillet 2023 Centre De Gestion Départemental de la fonction publique territoriale de la Mayenne</w:t>
        </w:r>
      </w:p>
      <w:p w:rsidR="004804CC" w:rsidRPr="00945703" w:rsidRDefault="00D456CF">
        <w:pPr>
          <w:pStyle w:val="Pieddepage"/>
          <w:rPr>
            <w:sz w:val="18"/>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4CC" w:rsidRDefault="004804CC" w:rsidP="00945703">
      <w:pPr>
        <w:spacing w:after="0" w:line="240" w:lineRule="auto"/>
      </w:pPr>
      <w:r>
        <w:separator/>
      </w:r>
    </w:p>
  </w:footnote>
  <w:footnote w:type="continuationSeparator" w:id="0">
    <w:p w:rsidR="004804CC" w:rsidRDefault="004804CC" w:rsidP="00945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CC" w:rsidRPr="00FE0CD8" w:rsidRDefault="002E0254" w:rsidP="00FE0CD8">
    <w:pPr>
      <w:pStyle w:val="En-tte"/>
      <w:shd w:val="clear" w:color="auto" w:fill="E6F2F4" w:themeFill="accent3" w:themeFillTint="33"/>
      <w:jc w:val="center"/>
      <w:rPr>
        <w:rFonts w:ascii="Arial" w:hAnsi="Arial" w:cs="Arial"/>
        <w:sz w:val="18"/>
        <w:szCs w:val="18"/>
      </w:rPr>
    </w:pPr>
    <w:r w:rsidRPr="00FE0CD8">
      <w:rPr>
        <w:rFonts w:ascii="Arial" w:hAnsi="Arial" w:cs="Arial"/>
        <w:sz w:val="18"/>
        <w:szCs w:val="18"/>
      </w:rPr>
      <w:t>Autorisation d’Intervention à Proximité des Réseaux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272" w:rsidRPr="00FE0CD8" w:rsidRDefault="00741272" w:rsidP="00741272">
    <w:pPr>
      <w:spacing w:after="0" w:line="240" w:lineRule="auto"/>
      <w:jc w:val="center"/>
      <w:rPr>
        <w:rFonts w:ascii="Arial" w:hAnsi="Arial" w:cs="Arial"/>
        <w:sz w:val="18"/>
        <w:szCs w:val="18"/>
      </w:rPr>
    </w:pPr>
    <w:r w:rsidRPr="00FE0CD8">
      <w:rPr>
        <w:rFonts w:ascii="Arial" w:hAnsi="Arial" w:cs="Arial"/>
        <w:sz w:val="18"/>
        <w:szCs w:val="18"/>
      </w:rPr>
      <w:t>Modèle à adapter n°11-</w:t>
    </w:r>
    <w:r w:rsidR="00FE0CD8">
      <w:rPr>
        <w:rFonts w:ascii="Arial" w:hAnsi="Arial" w:cs="Arial"/>
        <w:sz w:val="18"/>
        <w:szCs w:val="18"/>
      </w:rPr>
      <w:t>E</w:t>
    </w:r>
    <w:r w:rsidRPr="00FE0CD8">
      <w:rPr>
        <w:rFonts w:ascii="Arial" w:hAnsi="Arial" w:cs="Arial"/>
        <w:sz w:val="18"/>
        <w:szCs w:val="18"/>
      </w:rPr>
      <w:t>-MOD</w:t>
    </w:r>
    <w:r w:rsidR="00FE0CD8">
      <w:rPr>
        <w:rFonts w:ascii="Arial" w:hAnsi="Arial" w:cs="Arial"/>
        <w:sz w:val="18"/>
        <w:szCs w:val="18"/>
      </w:rPr>
      <w:t>5</w:t>
    </w:r>
    <w:r w:rsidRPr="00FE0CD8">
      <w:rPr>
        <w:rFonts w:ascii="Arial" w:hAnsi="Arial" w:cs="Arial"/>
        <w:sz w:val="18"/>
        <w:szCs w:val="18"/>
      </w:rPr>
      <w:t xml:space="preserve">- CDG </w:t>
    </w:r>
    <w:r w:rsidRPr="00FE0CD8">
      <w:rPr>
        <w:rFonts w:ascii="Arial" w:hAnsi="Arial" w:cs="Arial"/>
        <w:color w:val="000000" w:themeColor="text1"/>
        <w:sz w:val="18"/>
        <w:szCs w:val="18"/>
      </w:rPr>
      <w:t>53 – (septembre 2023)</w:t>
    </w:r>
  </w:p>
  <w:p w:rsidR="00741272" w:rsidRDefault="00741272" w:rsidP="00741272">
    <w:pPr>
      <w:pStyle w:val="Titre2"/>
    </w:pPr>
  </w:p>
  <w:p w:rsidR="00741272" w:rsidRDefault="00741272" w:rsidP="00741272">
    <w:pPr>
      <w:pStyle w:val="Titre2"/>
    </w:pPr>
    <w:r>
      <w:t>Autorisation d’intervention à proximité des réseaux (AIPR)</w:t>
    </w:r>
  </w:p>
  <w:p w:rsidR="00741272" w:rsidRDefault="00741272" w:rsidP="00741272">
    <w:pPr>
      <w:pBdr>
        <w:top w:val="single" w:sz="4" w:space="1" w:color="auto"/>
        <w:left w:val="single" w:sz="4" w:space="4" w:color="auto"/>
        <w:bottom w:val="single" w:sz="4" w:space="1" w:color="auto"/>
        <w:right w:val="single" w:sz="4" w:space="4" w:color="auto"/>
      </w:pBdr>
      <w:spacing w:after="0" w:line="240" w:lineRule="auto"/>
      <w:jc w:val="center"/>
      <w:rPr>
        <w:rFonts w:cs="Arial"/>
        <w:b/>
      </w:rPr>
    </w:pPr>
  </w:p>
  <w:p w:rsidR="00741272" w:rsidRDefault="00741272" w:rsidP="00741272">
    <w:pPr>
      <w:spacing w:after="0" w:line="240" w:lineRule="auto"/>
      <w:rPr>
        <w:rFonts w:cs="Arial"/>
        <w:szCs w:val="20"/>
      </w:rPr>
    </w:pPr>
  </w:p>
  <w:p w:rsidR="00741272" w:rsidRDefault="00741272">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9EAC0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D04"/>
      </v:shape>
    </w:pict>
  </w:numPicBullet>
  <w:abstractNum w:abstractNumId="0" w15:restartNumberingAfterBreak="0">
    <w:nsid w:val="01C9383A"/>
    <w:multiLevelType w:val="hybridMultilevel"/>
    <w:tmpl w:val="8AE2955C"/>
    <w:lvl w:ilvl="0" w:tplc="040C000B">
      <w:start w:val="1"/>
      <w:numFmt w:val="bullet"/>
      <w:lvlText w:val=""/>
      <w:lvlJc w:val="left"/>
      <w:pPr>
        <w:ind w:left="776" w:hanging="360"/>
      </w:pPr>
      <w:rPr>
        <w:rFonts w:ascii="Wingdings" w:hAnsi="Wingdings"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 w15:restartNumberingAfterBreak="0">
    <w:nsid w:val="0DD1389F"/>
    <w:multiLevelType w:val="hybridMultilevel"/>
    <w:tmpl w:val="4130241E"/>
    <w:lvl w:ilvl="0" w:tplc="A0846B0E">
      <w:start w:val="1"/>
      <w:numFmt w:val="bullet"/>
      <w:lvlText w:val=""/>
      <w:lvlJc w:val="left"/>
      <w:pPr>
        <w:ind w:left="360" w:hanging="360"/>
      </w:pPr>
      <w:rPr>
        <w:rFonts w:ascii="Symbol" w:hAnsi="Symbol" w:hint="default"/>
        <w:color w:val="0000F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1C950EE"/>
    <w:multiLevelType w:val="hybridMultilevel"/>
    <w:tmpl w:val="84124566"/>
    <w:lvl w:ilvl="0" w:tplc="DB4CB2E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F44482"/>
    <w:multiLevelType w:val="hybridMultilevel"/>
    <w:tmpl w:val="F1866572"/>
    <w:lvl w:ilvl="0" w:tplc="A0846B0E">
      <w:start w:val="1"/>
      <w:numFmt w:val="bullet"/>
      <w:lvlText w:val=""/>
      <w:lvlJc w:val="left"/>
      <w:pPr>
        <w:ind w:left="720"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8C3B8A"/>
    <w:multiLevelType w:val="hybridMultilevel"/>
    <w:tmpl w:val="BF469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6D43F4"/>
    <w:multiLevelType w:val="hybridMultilevel"/>
    <w:tmpl w:val="42E81D7C"/>
    <w:lvl w:ilvl="0" w:tplc="2F5ADA6A">
      <w:start w:val="4"/>
      <w:numFmt w:val="bullet"/>
      <w:lvlText w:val=""/>
      <w:lvlJc w:val="left"/>
      <w:pPr>
        <w:ind w:left="2160" w:hanging="360"/>
      </w:pPr>
      <w:rPr>
        <w:rFonts w:ascii="Symbol" w:eastAsia="Calibri" w:hAnsi="Symbo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15:restartNumberingAfterBreak="0">
    <w:nsid w:val="41855DEB"/>
    <w:multiLevelType w:val="hybridMultilevel"/>
    <w:tmpl w:val="BFD4ABA8"/>
    <w:lvl w:ilvl="0" w:tplc="A0846B0E">
      <w:start w:val="1"/>
      <w:numFmt w:val="bullet"/>
      <w:lvlText w:val=""/>
      <w:lvlJc w:val="left"/>
      <w:pPr>
        <w:ind w:left="720"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660B38"/>
    <w:multiLevelType w:val="hybridMultilevel"/>
    <w:tmpl w:val="131C5F3E"/>
    <w:lvl w:ilvl="0" w:tplc="8D6A903E">
      <w:numFmt w:val="bullet"/>
      <w:lvlText w:val=""/>
      <w:lvlJc w:val="left"/>
      <w:pPr>
        <w:ind w:left="720" w:hanging="360"/>
      </w:pPr>
      <w:rPr>
        <w:rFonts w:ascii="Wingdings 3" w:eastAsia="Arial Unicode MS" w:hAnsi="Wingdings 3"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D80CEB"/>
    <w:multiLevelType w:val="hybridMultilevel"/>
    <w:tmpl w:val="9F145030"/>
    <w:lvl w:ilvl="0" w:tplc="C2EC646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0383D23"/>
    <w:multiLevelType w:val="hybridMultilevel"/>
    <w:tmpl w:val="C5F011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81C656A"/>
    <w:multiLevelType w:val="hybridMultilevel"/>
    <w:tmpl w:val="94C6F936"/>
    <w:lvl w:ilvl="0" w:tplc="57665CC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4E5400"/>
    <w:multiLevelType w:val="hybridMultilevel"/>
    <w:tmpl w:val="C74AE412"/>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15:restartNumberingAfterBreak="0">
    <w:nsid w:val="60777E2B"/>
    <w:multiLevelType w:val="hybridMultilevel"/>
    <w:tmpl w:val="09FA282A"/>
    <w:lvl w:ilvl="0" w:tplc="040C0001">
      <w:start w:val="1"/>
      <w:numFmt w:val="bullet"/>
      <w:lvlText w:val=""/>
      <w:lvlJc w:val="left"/>
      <w:pPr>
        <w:ind w:left="1562" w:hanging="360"/>
      </w:pPr>
      <w:rPr>
        <w:rFonts w:ascii="Symbol" w:hAnsi="Symbol" w:hint="default"/>
      </w:rPr>
    </w:lvl>
    <w:lvl w:ilvl="1" w:tplc="040C0003" w:tentative="1">
      <w:start w:val="1"/>
      <w:numFmt w:val="bullet"/>
      <w:lvlText w:val="o"/>
      <w:lvlJc w:val="left"/>
      <w:pPr>
        <w:ind w:left="2282" w:hanging="360"/>
      </w:pPr>
      <w:rPr>
        <w:rFonts w:ascii="Courier New" w:hAnsi="Courier New" w:cs="Courier New" w:hint="default"/>
      </w:rPr>
    </w:lvl>
    <w:lvl w:ilvl="2" w:tplc="040C0005" w:tentative="1">
      <w:start w:val="1"/>
      <w:numFmt w:val="bullet"/>
      <w:lvlText w:val=""/>
      <w:lvlJc w:val="left"/>
      <w:pPr>
        <w:ind w:left="3002" w:hanging="360"/>
      </w:pPr>
      <w:rPr>
        <w:rFonts w:ascii="Wingdings" w:hAnsi="Wingdings" w:hint="default"/>
      </w:rPr>
    </w:lvl>
    <w:lvl w:ilvl="3" w:tplc="040C0001" w:tentative="1">
      <w:start w:val="1"/>
      <w:numFmt w:val="bullet"/>
      <w:lvlText w:val=""/>
      <w:lvlJc w:val="left"/>
      <w:pPr>
        <w:ind w:left="3722" w:hanging="360"/>
      </w:pPr>
      <w:rPr>
        <w:rFonts w:ascii="Symbol" w:hAnsi="Symbol" w:hint="default"/>
      </w:rPr>
    </w:lvl>
    <w:lvl w:ilvl="4" w:tplc="040C0003" w:tentative="1">
      <w:start w:val="1"/>
      <w:numFmt w:val="bullet"/>
      <w:lvlText w:val="o"/>
      <w:lvlJc w:val="left"/>
      <w:pPr>
        <w:ind w:left="4442" w:hanging="360"/>
      </w:pPr>
      <w:rPr>
        <w:rFonts w:ascii="Courier New" w:hAnsi="Courier New" w:cs="Courier New" w:hint="default"/>
      </w:rPr>
    </w:lvl>
    <w:lvl w:ilvl="5" w:tplc="040C0005" w:tentative="1">
      <w:start w:val="1"/>
      <w:numFmt w:val="bullet"/>
      <w:lvlText w:val=""/>
      <w:lvlJc w:val="left"/>
      <w:pPr>
        <w:ind w:left="5162" w:hanging="360"/>
      </w:pPr>
      <w:rPr>
        <w:rFonts w:ascii="Wingdings" w:hAnsi="Wingdings" w:hint="default"/>
      </w:rPr>
    </w:lvl>
    <w:lvl w:ilvl="6" w:tplc="040C0001" w:tentative="1">
      <w:start w:val="1"/>
      <w:numFmt w:val="bullet"/>
      <w:lvlText w:val=""/>
      <w:lvlJc w:val="left"/>
      <w:pPr>
        <w:ind w:left="5882" w:hanging="360"/>
      </w:pPr>
      <w:rPr>
        <w:rFonts w:ascii="Symbol" w:hAnsi="Symbol" w:hint="default"/>
      </w:rPr>
    </w:lvl>
    <w:lvl w:ilvl="7" w:tplc="040C0003" w:tentative="1">
      <w:start w:val="1"/>
      <w:numFmt w:val="bullet"/>
      <w:lvlText w:val="o"/>
      <w:lvlJc w:val="left"/>
      <w:pPr>
        <w:ind w:left="6602" w:hanging="360"/>
      </w:pPr>
      <w:rPr>
        <w:rFonts w:ascii="Courier New" w:hAnsi="Courier New" w:cs="Courier New" w:hint="default"/>
      </w:rPr>
    </w:lvl>
    <w:lvl w:ilvl="8" w:tplc="040C0005" w:tentative="1">
      <w:start w:val="1"/>
      <w:numFmt w:val="bullet"/>
      <w:lvlText w:val=""/>
      <w:lvlJc w:val="left"/>
      <w:pPr>
        <w:ind w:left="7322" w:hanging="360"/>
      </w:pPr>
      <w:rPr>
        <w:rFonts w:ascii="Wingdings" w:hAnsi="Wingdings" w:hint="default"/>
      </w:rPr>
    </w:lvl>
  </w:abstractNum>
  <w:abstractNum w:abstractNumId="13" w15:restartNumberingAfterBreak="0">
    <w:nsid w:val="62E65204"/>
    <w:multiLevelType w:val="hybridMultilevel"/>
    <w:tmpl w:val="BB1E165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63DC3111"/>
    <w:multiLevelType w:val="hybridMultilevel"/>
    <w:tmpl w:val="6B507344"/>
    <w:lvl w:ilvl="0" w:tplc="6D086EE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CD173F"/>
    <w:multiLevelType w:val="hybridMultilevel"/>
    <w:tmpl w:val="99F85B9A"/>
    <w:lvl w:ilvl="0" w:tplc="A0846B0E">
      <w:start w:val="1"/>
      <w:numFmt w:val="bullet"/>
      <w:lvlText w:val=""/>
      <w:lvlJc w:val="left"/>
      <w:pPr>
        <w:ind w:left="360" w:hanging="360"/>
      </w:pPr>
      <w:rPr>
        <w:rFonts w:ascii="Symbol" w:hAnsi="Symbol" w:hint="default"/>
        <w:color w:val="0000F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8076DDE"/>
    <w:multiLevelType w:val="hybridMultilevel"/>
    <w:tmpl w:val="1CBCAA40"/>
    <w:lvl w:ilvl="0" w:tplc="A0846B0E">
      <w:start w:val="1"/>
      <w:numFmt w:val="bullet"/>
      <w:lvlText w:val=""/>
      <w:lvlJc w:val="left"/>
      <w:pPr>
        <w:ind w:left="720"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BAE1D14"/>
    <w:multiLevelType w:val="hybridMultilevel"/>
    <w:tmpl w:val="679C513C"/>
    <w:lvl w:ilvl="0" w:tplc="F434EE50">
      <w:start w:val="1"/>
      <w:numFmt w:val="bullet"/>
      <w:lvlText w:val=""/>
      <w:lvlJc w:val="left"/>
      <w:pPr>
        <w:ind w:left="360" w:hanging="360"/>
      </w:pPr>
      <w:rPr>
        <w:rFonts w:ascii="Symbol" w:hAnsi="Symbol" w:hint="default"/>
      </w:rPr>
    </w:lvl>
    <w:lvl w:ilvl="1" w:tplc="0CA2EEC0" w:tentative="1">
      <w:start w:val="1"/>
      <w:numFmt w:val="bullet"/>
      <w:lvlText w:val="o"/>
      <w:lvlJc w:val="left"/>
      <w:pPr>
        <w:ind w:left="1080" w:hanging="360"/>
      </w:pPr>
      <w:rPr>
        <w:rFonts w:ascii="Courier New" w:hAnsi="Courier New" w:hint="default"/>
      </w:rPr>
    </w:lvl>
    <w:lvl w:ilvl="2" w:tplc="D1C6163A" w:tentative="1">
      <w:start w:val="1"/>
      <w:numFmt w:val="bullet"/>
      <w:lvlText w:val=""/>
      <w:lvlJc w:val="left"/>
      <w:pPr>
        <w:ind w:left="1800" w:hanging="360"/>
      </w:pPr>
      <w:rPr>
        <w:rFonts w:ascii="Wingdings" w:hAnsi="Wingdings" w:hint="default"/>
      </w:rPr>
    </w:lvl>
    <w:lvl w:ilvl="3" w:tplc="27A2D7B2" w:tentative="1">
      <w:start w:val="1"/>
      <w:numFmt w:val="bullet"/>
      <w:lvlText w:val=""/>
      <w:lvlJc w:val="left"/>
      <w:pPr>
        <w:ind w:left="2520" w:hanging="360"/>
      </w:pPr>
      <w:rPr>
        <w:rFonts w:ascii="Symbol" w:hAnsi="Symbol" w:hint="default"/>
      </w:rPr>
    </w:lvl>
    <w:lvl w:ilvl="4" w:tplc="7A2C46F8" w:tentative="1">
      <w:start w:val="1"/>
      <w:numFmt w:val="bullet"/>
      <w:lvlText w:val="o"/>
      <w:lvlJc w:val="left"/>
      <w:pPr>
        <w:ind w:left="3240" w:hanging="360"/>
      </w:pPr>
      <w:rPr>
        <w:rFonts w:ascii="Courier New" w:hAnsi="Courier New" w:hint="default"/>
      </w:rPr>
    </w:lvl>
    <w:lvl w:ilvl="5" w:tplc="1074A8F4" w:tentative="1">
      <w:start w:val="1"/>
      <w:numFmt w:val="bullet"/>
      <w:lvlText w:val=""/>
      <w:lvlJc w:val="left"/>
      <w:pPr>
        <w:ind w:left="3960" w:hanging="360"/>
      </w:pPr>
      <w:rPr>
        <w:rFonts w:ascii="Wingdings" w:hAnsi="Wingdings" w:hint="default"/>
      </w:rPr>
    </w:lvl>
    <w:lvl w:ilvl="6" w:tplc="4AB21D64" w:tentative="1">
      <w:start w:val="1"/>
      <w:numFmt w:val="bullet"/>
      <w:lvlText w:val=""/>
      <w:lvlJc w:val="left"/>
      <w:pPr>
        <w:ind w:left="4680" w:hanging="360"/>
      </w:pPr>
      <w:rPr>
        <w:rFonts w:ascii="Symbol" w:hAnsi="Symbol" w:hint="default"/>
      </w:rPr>
    </w:lvl>
    <w:lvl w:ilvl="7" w:tplc="D6762E1E" w:tentative="1">
      <w:start w:val="1"/>
      <w:numFmt w:val="bullet"/>
      <w:lvlText w:val="o"/>
      <w:lvlJc w:val="left"/>
      <w:pPr>
        <w:ind w:left="5400" w:hanging="360"/>
      </w:pPr>
      <w:rPr>
        <w:rFonts w:ascii="Courier New" w:hAnsi="Courier New" w:hint="default"/>
      </w:rPr>
    </w:lvl>
    <w:lvl w:ilvl="8" w:tplc="9DECEAB2"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9"/>
  </w:num>
  <w:num w:numId="4">
    <w:abstractNumId w:val="7"/>
  </w:num>
  <w:num w:numId="5">
    <w:abstractNumId w:val="13"/>
  </w:num>
  <w:num w:numId="6">
    <w:abstractNumId w:val="5"/>
  </w:num>
  <w:num w:numId="7">
    <w:abstractNumId w:val="4"/>
  </w:num>
  <w:num w:numId="8">
    <w:abstractNumId w:val="3"/>
  </w:num>
  <w:num w:numId="9">
    <w:abstractNumId w:val="15"/>
  </w:num>
  <w:num w:numId="10">
    <w:abstractNumId w:val="1"/>
  </w:num>
  <w:num w:numId="11">
    <w:abstractNumId w:val="17"/>
  </w:num>
  <w:num w:numId="12">
    <w:abstractNumId w:val="16"/>
  </w:num>
  <w:num w:numId="13">
    <w:abstractNumId w:val="6"/>
  </w:num>
  <w:num w:numId="14">
    <w:abstractNumId w:val="11"/>
  </w:num>
  <w:num w:numId="15">
    <w:abstractNumId w:val="2"/>
  </w:num>
  <w:num w:numId="16">
    <w:abstractNumId w:val="14"/>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08"/>
  <w:hyphenationZone w:val="425"/>
  <w:characterSpacingControl w:val="doNotCompress"/>
  <w:hdrShapeDefaults>
    <o:shapedefaults v:ext="edit" spidmax="204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6BC"/>
    <w:rsid w:val="000250A3"/>
    <w:rsid w:val="00050B2D"/>
    <w:rsid w:val="00073420"/>
    <w:rsid w:val="00076641"/>
    <w:rsid w:val="00076E13"/>
    <w:rsid w:val="000D77E7"/>
    <w:rsid w:val="001053CB"/>
    <w:rsid w:val="00134E3A"/>
    <w:rsid w:val="00135CC6"/>
    <w:rsid w:val="0017231A"/>
    <w:rsid w:val="00196160"/>
    <w:rsid w:val="001B5A94"/>
    <w:rsid w:val="001B7B39"/>
    <w:rsid w:val="002307EB"/>
    <w:rsid w:val="002369F5"/>
    <w:rsid w:val="00236DA7"/>
    <w:rsid w:val="002668C1"/>
    <w:rsid w:val="002831A7"/>
    <w:rsid w:val="002C1139"/>
    <w:rsid w:val="002D0EE9"/>
    <w:rsid w:val="002E0254"/>
    <w:rsid w:val="002F334D"/>
    <w:rsid w:val="00320892"/>
    <w:rsid w:val="00332F1E"/>
    <w:rsid w:val="003903C2"/>
    <w:rsid w:val="003D0278"/>
    <w:rsid w:val="003D6D79"/>
    <w:rsid w:val="003F41CE"/>
    <w:rsid w:val="00413829"/>
    <w:rsid w:val="00423D40"/>
    <w:rsid w:val="004322A2"/>
    <w:rsid w:val="004804CC"/>
    <w:rsid w:val="004E0796"/>
    <w:rsid w:val="004F233D"/>
    <w:rsid w:val="004F35C3"/>
    <w:rsid w:val="00503077"/>
    <w:rsid w:val="00510D5A"/>
    <w:rsid w:val="00541A1B"/>
    <w:rsid w:val="00550193"/>
    <w:rsid w:val="005614FE"/>
    <w:rsid w:val="00586DC9"/>
    <w:rsid w:val="005B035C"/>
    <w:rsid w:val="005E3C37"/>
    <w:rsid w:val="0063761B"/>
    <w:rsid w:val="00650CDF"/>
    <w:rsid w:val="006B5747"/>
    <w:rsid w:val="00736A6F"/>
    <w:rsid w:val="00741272"/>
    <w:rsid w:val="00754360"/>
    <w:rsid w:val="00766FF0"/>
    <w:rsid w:val="00767638"/>
    <w:rsid w:val="007E5246"/>
    <w:rsid w:val="00852F1B"/>
    <w:rsid w:val="00857979"/>
    <w:rsid w:val="008A3183"/>
    <w:rsid w:val="008F28FF"/>
    <w:rsid w:val="00941C5E"/>
    <w:rsid w:val="00945703"/>
    <w:rsid w:val="00945FA9"/>
    <w:rsid w:val="0094721B"/>
    <w:rsid w:val="00962564"/>
    <w:rsid w:val="0097145D"/>
    <w:rsid w:val="00987E98"/>
    <w:rsid w:val="009A7FA9"/>
    <w:rsid w:val="009F0B6E"/>
    <w:rsid w:val="009F0EF0"/>
    <w:rsid w:val="00A00069"/>
    <w:rsid w:val="00A12E76"/>
    <w:rsid w:val="00A95960"/>
    <w:rsid w:val="00AA3440"/>
    <w:rsid w:val="00AB4C5E"/>
    <w:rsid w:val="00AB6900"/>
    <w:rsid w:val="00AD73CD"/>
    <w:rsid w:val="00AE5C7A"/>
    <w:rsid w:val="00B54C80"/>
    <w:rsid w:val="00B64831"/>
    <w:rsid w:val="00B66A27"/>
    <w:rsid w:val="00B66CF4"/>
    <w:rsid w:val="00B77DD9"/>
    <w:rsid w:val="00BC0A8A"/>
    <w:rsid w:val="00BC4F8A"/>
    <w:rsid w:val="00C070E6"/>
    <w:rsid w:val="00CA1910"/>
    <w:rsid w:val="00CA23A9"/>
    <w:rsid w:val="00CA7052"/>
    <w:rsid w:val="00CB0266"/>
    <w:rsid w:val="00CF7BE7"/>
    <w:rsid w:val="00D000CC"/>
    <w:rsid w:val="00D00365"/>
    <w:rsid w:val="00D270C9"/>
    <w:rsid w:val="00D31E51"/>
    <w:rsid w:val="00D456CF"/>
    <w:rsid w:val="00D52BE2"/>
    <w:rsid w:val="00D65542"/>
    <w:rsid w:val="00D72729"/>
    <w:rsid w:val="00D7647D"/>
    <w:rsid w:val="00E15525"/>
    <w:rsid w:val="00E21DE4"/>
    <w:rsid w:val="00E6060A"/>
    <w:rsid w:val="00E76B90"/>
    <w:rsid w:val="00EA00E9"/>
    <w:rsid w:val="00EA4187"/>
    <w:rsid w:val="00EB389C"/>
    <w:rsid w:val="00EF1DEF"/>
    <w:rsid w:val="00F3376E"/>
    <w:rsid w:val="00F706BC"/>
    <w:rsid w:val="00FC1F41"/>
    <w:rsid w:val="00FC6E70"/>
    <w:rsid w:val="00FE0C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o:shapedefaults>
    <o:shapelayout v:ext="edit">
      <o:idmap v:ext="edit" data="1"/>
    </o:shapelayout>
  </w:shapeDefaults>
  <w:decimalSymbol w:val=","/>
  <w:listSeparator w:val=";"/>
  <w14:docId w14:val="7E935BCA"/>
  <w15:chartTrackingRefBased/>
  <w15:docId w15:val="{4772D2D6-929A-4DBE-B65B-1BB1E00E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D40"/>
  </w:style>
  <w:style w:type="paragraph" w:styleId="Titre1">
    <w:name w:val="heading 1"/>
    <w:basedOn w:val="Normal"/>
    <w:next w:val="Normal"/>
    <w:link w:val="Titre1Car"/>
    <w:uiPriority w:val="9"/>
    <w:qFormat/>
    <w:rsid w:val="00941C5E"/>
    <w:pPr>
      <w:keepNext/>
      <w:spacing w:line="240" w:lineRule="auto"/>
      <w:outlineLvl w:val="0"/>
    </w:pPr>
    <w:rPr>
      <w:rFonts w:ascii="Arial" w:hAnsi="Arial" w:cs="Arial"/>
      <w:b/>
      <w:color w:val="0F304D" w:themeColor="accent2"/>
      <w:sz w:val="28"/>
      <w:szCs w:val="28"/>
    </w:rPr>
  </w:style>
  <w:style w:type="paragraph" w:styleId="Titre2">
    <w:name w:val="heading 2"/>
    <w:basedOn w:val="Normal"/>
    <w:next w:val="Normal"/>
    <w:link w:val="Titre2Car"/>
    <w:uiPriority w:val="9"/>
    <w:unhideWhenUsed/>
    <w:qFormat/>
    <w:rsid w:val="00741272"/>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Arial" w:hAnsi="Arial" w:cs="Arial"/>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68C1"/>
    <w:pPr>
      <w:ind w:left="720"/>
      <w:contextualSpacing/>
    </w:pPr>
  </w:style>
  <w:style w:type="paragraph" w:styleId="Textedebulles">
    <w:name w:val="Balloon Text"/>
    <w:basedOn w:val="Normal"/>
    <w:link w:val="TextedebullesCar"/>
    <w:uiPriority w:val="99"/>
    <w:semiHidden/>
    <w:unhideWhenUsed/>
    <w:rsid w:val="00E606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060A"/>
    <w:rPr>
      <w:rFonts w:ascii="Segoe UI" w:hAnsi="Segoe UI" w:cs="Segoe UI"/>
      <w:sz w:val="18"/>
      <w:szCs w:val="18"/>
    </w:rPr>
  </w:style>
  <w:style w:type="paragraph" w:styleId="En-tte">
    <w:name w:val="header"/>
    <w:basedOn w:val="Normal"/>
    <w:link w:val="En-tteCar"/>
    <w:uiPriority w:val="99"/>
    <w:unhideWhenUsed/>
    <w:rsid w:val="00945703"/>
    <w:pPr>
      <w:tabs>
        <w:tab w:val="center" w:pos="4536"/>
        <w:tab w:val="right" w:pos="9072"/>
      </w:tabs>
      <w:spacing w:after="0" w:line="240" w:lineRule="auto"/>
    </w:pPr>
  </w:style>
  <w:style w:type="character" w:customStyle="1" w:styleId="En-tteCar">
    <w:name w:val="En-tête Car"/>
    <w:basedOn w:val="Policepardfaut"/>
    <w:link w:val="En-tte"/>
    <w:uiPriority w:val="99"/>
    <w:rsid w:val="00945703"/>
  </w:style>
  <w:style w:type="paragraph" w:styleId="Pieddepage">
    <w:name w:val="footer"/>
    <w:basedOn w:val="Normal"/>
    <w:link w:val="PieddepageCar"/>
    <w:uiPriority w:val="99"/>
    <w:unhideWhenUsed/>
    <w:rsid w:val="009457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5703"/>
  </w:style>
  <w:style w:type="table" w:styleId="Grilledutableau">
    <w:name w:val="Table Grid"/>
    <w:basedOn w:val="TableauNormal"/>
    <w:uiPriority w:val="59"/>
    <w:rsid w:val="005614FE"/>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sid w:val="00A12E76"/>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A12E7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rsid w:val="00A12E76"/>
    <w:rPr>
      <w:vertAlign w:val="superscript"/>
    </w:rPr>
  </w:style>
  <w:style w:type="character" w:customStyle="1" w:styleId="Texte1Car">
    <w:name w:val="Texte 1 Car"/>
    <w:link w:val="Texte1"/>
    <w:locked/>
    <w:rsid w:val="00A12E76"/>
    <w:rPr>
      <w:rFonts w:ascii="Arial" w:hAnsi="Arial"/>
      <w:color w:val="000000"/>
      <w:spacing w:val="20"/>
      <w:sz w:val="18"/>
      <w:lang w:val="x-none"/>
    </w:rPr>
  </w:style>
  <w:style w:type="paragraph" w:customStyle="1" w:styleId="Texte1">
    <w:name w:val="Texte 1"/>
    <w:basedOn w:val="Normal"/>
    <w:link w:val="Texte1Car"/>
    <w:qFormat/>
    <w:rsid w:val="00A12E76"/>
    <w:pPr>
      <w:spacing w:after="0" w:line="260" w:lineRule="exact"/>
    </w:pPr>
    <w:rPr>
      <w:rFonts w:ascii="Arial" w:hAnsi="Arial"/>
      <w:color w:val="000000"/>
      <w:spacing w:val="20"/>
      <w:sz w:val="18"/>
      <w:lang w:val="x-none"/>
    </w:rPr>
  </w:style>
  <w:style w:type="paragraph" w:styleId="Notedefin">
    <w:name w:val="endnote text"/>
    <w:basedOn w:val="Normal"/>
    <w:link w:val="NotedefinCar"/>
    <w:uiPriority w:val="99"/>
    <w:unhideWhenUsed/>
    <w:rsid w:val="00A12E76"/>
    <w:pPr>
      <w:spacing w:after="0" w:line="240" w:lineRule="auto"/>
    </w:pPr>
    <w:rPr>
      <w:rFonts w:ascii="Times New Roman" w:eastAsia="Times New Roman" w:hAnsi="Times New Roman" w:cs="Times New Roman"/>
      <w:sz w:val="20"/>
      <w:szCs w:val="20"/>
      <w:lang w:eastAsia="fr-FR"/>
    </w:rPr>
  </w:style>
  <w:style w:type="character" w:customStyle="1" w:styleId="NotedefinCar">
    <w:name w:val="Note de fin Car"/>
    <w:basedOn w:val="Policepardfaut"/>
    <w:link w:val="Notedefin"/>
    <w:uiPriority w:val="99"/>
    <w:rsid w:val="00A12E76"/>
    <w:rPr>
      <w:rFonts w:ascii="Times New Roman" w:eastAsia="Times New Roman" w:hAnsi="Times New Roman" w:cs="Times New Roman"/>
      <w:sz w:val="20"/>
      <w:szCs w:val="20"/>
      <w:lang w:eastAsia="fr-FR"/>
    </w:rPr>
  </w:style>
  <w:style w:type="paragraph" w:styleId="Sansinterligne">
    <w:name w:val="No Spacing"/>
    <w:link w:val="SansinterligneCar"/>
    <w:uiPriority w:val="1"/>
    <w:qFormat/>
    <w:rsid w:val="00541A1B"/>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41A1B"/>
    <w:rPr>
      <w:rFonts w:eastAsiaTheme="minorEastAsia"/>
      <w:lang w:eastAsia="fr-FR"/>
    </w:rPr>
  </w:style>
  <w:style w:type="character" w:styleId="Lienhypertexte">
    <w:name w:val="Hyperlink"/>
    <w:basedOn w:val="Policepardfaut"/>
    <w:uiPriority w:val="99"/>
    <w:unhideWhenUsed/>
    <w:rsid w:val="00FC6E70"/>
    <w:rPr>
      <w:color w:val="0000FF" w:themeColor="hyperlink"/>
      <w:u w:val="single"/>
    </w:rPr>
  </w:style>
  <w:style w:type="character" w:styleId="Lienhypertextesuivivisit">
    <w:name w:val="FollowedHyperlink"/>
    <w:basedOn w:val="Policepardfaut"/>
    <w:uiPriority w:val="99"/>
    <w:semiHidden/>
    <w:unhideWhenUsed/>
    <w:rsid w:val="00FC6E70"/>
    <w:rPr>
      <w:color w:val="800080" w:themeColor="followedHyperlink"/>
      <w:u w:val="single"/>
    </w:rPr>
  </w:style>
  <w:style w:type="character" w:customStyle="1" w:styleId="Titre2Car">
    <w:name w:val="Titre 2 Car"/>
    <w:basedOn w:val="Policepardfaut"/>
    <w:link w:val="Titre2"/>
    <w:uiPriority w:val="9"/>
    <w:rsid w:val="00741272"/>
    <w:rPr>
      <w:rFonts w:ascii="Arial" w:hAnsi="Arial" w:cs="Arial"/>
      <w:b/>
      <w:sz w:val="20"/>
    </w:rPr>
  </w:style>
  <w:style w:type="paragraph" w:styleId="Retraitcorpsdetexte">
    <w:name w:val="Body Text Indent"/>
    <w:basedOn w:val="Normal"/>
    <w:link w:val="RetraitcorpsdetexteCar"/>
    <w:uiPriority w:val="99"/>
    <w:unhideWhenUsed/>
    <w:rsid w:val="00741272"/>
    <w:pPr>
      <w:spacing w:line="276" w:lineRule="auto"/>
      <w:ind w:left="708"/>
      <w:jc w:val="both"/>
    </w:pPr>
    <w:rPr>
      <w:rFonts w:ascii="Arial" w:hAnsi="Arial" w:cs="Arial"/>
      <w:sz w:val="20"/>
      <w:szCs w:val="20"/>
    </w:rPr>
  </w:style>
  <w:style w:type="character" w:customStyle="1" w:styleId="RetraitcorpsdetexteCar">
    <w:name w:val="Retrait corps de texte Car"/>
    <w:basedOn w:val="Policepardfaut"/>
    <w:link w:val="Retraitcorpsdetexte"/>
    <w:uiPriority w:val="99"/>
    <w:rsid w:val="00741272"/>
    <w:rPr>
      <w:rFonts w:ascii="Arial" w:hAnsi="Arial" w:cs="Arial"/>
      <w:sz w:val="20"/>
      <w:szCs w:val="20"/>
    </w:rPr>
  </w:style>
  <w:style w:type="character" w:customStyle="1" w:styleId="Titre1Car">
    <w:name w:val="Titre 1 Car"/>
    <w:basedOn w:val="Policepardfaut"/>
    <w:link w:val="Titre1"/>
    <w:uiPriority w:val="9"/>
    <w:rsid w:val="00941C5E"/>
    <w:rPr>
      <w:rFonts w:ascii="Arial" w:hAnsi="Arial" w:cs="Arial"/>
      <w:b/>
      <w:color w:val="0F304D" w:themeColor="accent2"/>
      <w:sz w:val="28"/>
      <w:szCs w:val="28"/>
    </w:rPr>
  </w:style>
  <w:style w:type="paragraph" w:styleId="Rvision">
    <w:name w:val="Revision"/>
    <w:hidden/>
    <w:uiPriority w:val="99"/>
    <w:semiHidden/>
    <w:rsid w:val="00D45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charte graphique">
  <a:themeElements>
    <a:clrScheme name="charte graphique">
      <a:dk1>
        <a:sysClr val="windowText" lastClr="000000"/>
      </a:dk1>
      <a:lt1>
        <a:sysClr val="window" lastClr="FFFFFF"/>
      </a:lt1>
      <a:dk2>
        <a:srgbClr val="000000"/>
      </a:dk2>
      <a:lt2>
        <a:srgbClr val="92D050"/>
      </a:lt2>
      <a:accent1>
        <a:srgbClr val="C64A25"/>
      </a:accent1>
      <a:accent2>
        <a:srgbClr val="0F304D"/>
      </a:accent2>
      <a:accent3>
        <a:srgbClr val="86C0C9"/>
      </a:accent3>
      <a:accent4>
        <a:srgbClr val="F2BD70"/>
      </a:accent4>
      <a:accent5>
        <a:srgbClr val="E56900"/>
      </a:accent5>
      <a:accent6>
        <a:srgbClr val="B0A19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18C25-7CA5-43EA-88B2-11C356C4C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1308</Words>
  <Characters>7198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AUTORISATION D’INTERVENTION A PROXIMITE DES RESEAUX (AIPR)</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Autorisation d’Intervention à Proximité des Réseaux (AIPR)</dc:title>
  <dc:subject/>
  <dc:creator>Vincent Letavasier</dc:creator>
  <cp:keywords/>
  <dc:description/>
  <cp:lastModifiedBy>Marie Bilheux</cp:lastModifiedBy>
  <cp:revision>4</cp:revision>
  <cp:lastPrinted>2023-07-31T09:54:00Z</cp:lastPrinted>
  <dcterms:created xsi:type="dcterms:W3CDTF">2024-03-12T14:40:00Z</dcterms:created>
  <dcterms:modified xsi:type="dcterms:W3CDTF">2024-03-12T14:45:00Z</dcterms:modified>
</cp:coreProperties>
</file>