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7C0DA034" w:rsidR="00585071" w:rsidRPr="00747422" w:rsidRDefault="00747422" w:rsidP="00585071">
      <w:pPr>
        <w:jc w:val="center"/>
        <w:rPr>
          <w:rFonts w:cs="Arial"/>
          <w:sz w:val="18"/>
          <w:szCs w:val="18"/>
        </w:rPr>
      </w:pPr>
      <w:r>
        <w:rPr>
          <w:rFonts w:cs="Arial"/>
          <w:sz w:val="18"/>
          <w:szCs w:val="18"/>
        </w:rPr>
        <w:t>Modèle à adapter</w:t>
      </w:r>
      <w:r w:rsidR="00701065">
        <w:rPr>
          <w:rFonts w:cs="Arial"/>
          <w:sz w:val="18"/>
          <w:szCs w:val="18"/>
        </w:rPr>
        <w:t xml:space="preserve"> n° 09-F-MOD</w:t>
      </w:r>
      <w:r w:rsidR="00E55A38">
        <w:rPr>
          <w:rFonts w:cs="Arial"/>
          <w:sz w:val="18"/>
          <w:szCs w:val="18"/>
        </w:rPr>
        <w:t>2</w:t>
      </w:r>
      <w:r w:rsidR="005870A9" w:rsidRPr="00747422">
        <w:rPr>
          <w:rFonts w:cs="Arial"/>
          <w:sz w:val="18"/>
          <w:szCs w:val="18"/>
        </w:rPr>
        <w:t xml:space="preserve"> - </w:t>
      </w:r>
      <w:r w:rsidR="00585071" w:rsidRPr="00747422">
        <w:rPr>
          <w:rFonts w:cs="Arial"/>
          <w:sz w:val="18"/>
          <w:szCs w:val="18"/>
        </w:rPr>
        <w:t>CDG 53 – (</w:t>
      </w:r>
      <w:r w:rsidR="002B66C6">
        <w:rPr>
          <w:rFonts w:cs="Arial"/>
          <w:color w:val="92D050"/>
          <w:sz w:val="18"/>
          <w:szCs w:val="18"/>
        </w:rPr>
        <w:t>mars 2022</w:t>
      </w:r>
      <w:r w:rsidR="00585071" w:rsidRPr="00747422">
        <w:rPr>
          <w:rFonts w:cs="Arial"/>
          <w:sz w:val="18"/>
          <w:szCs w:val="18"/>
        </w:rPr>
        <w:t>)</w:t>
      </w:r>
    </w:p>
    <w:p w14:paraId="15748001" w14:textId="77777777" w:rsidR="007162E9"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p>
    <w:p w14:paraId="315F73EA" w14:textId="3682B28C" w:rsidR="00585071"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portant </w:t>
      </w:r>
      <w:r w:rsidR="00565D14">
        <w:rPr>
          <w:rFonts w:cs="Arial"/>
          <w:b/>
          <w:sz w:val="22"/>
        </w:rPr>
        <w:t>majoration des heures complémentaires pour les agents à temps non complet</w:t>
      </w:r>
    </w:p>
    <w:p w14:paraId="35EEB1C6" w14:textId="77777777" w:rsidR="00B741A8" w:rsidRPr="00737F7D" w:rsidRDefault="00B741A8" w:rsidP="00B741A8">
      <w:pPr>
        <w:rPr>
          <w:rFonts w:cs="Arial"/>
        </w:rPr>
      </w:pPr>
    </w:p>
    <w:p w14:paraId="672BFB5C" w14:textId="03D686CB" w:rsidR="00E643CA" w:rsidRPr="00737F7D" w:rsidRDefault="00E643CA" w:rsidP="00B741A8">
      <w:pPr>
        <w:rPr>
          <w:rFonts w:cs="Arial"/>
        </w:rPr>
      </w:pPr>
    </w:p>
    <w:p w14:paraId="1D56ECA3" w14:textId="57FDC62D" w:rsidR="00AA07CE" w:rsidRPr="00737F7D" w:rsidRDefault="00E72091" w:rsidP="00B741A8">
      <w:pPr>
        <w:rPr>
          <w:rFonts w:cs="Arial"/>
          <w:i/>
          <w:color w:val="4DA0AD" w:themeColor="accent3" w:themeShade="BF"/>
          <w:sz w:val="18"/>
          <w:szCs w:val="18"/>
        </w:rPr>
      </w:pPr>
      <w:bookmarkStart w:id="0" w:name="_GoBack"/>
      <w:r>
        <w:rPr>
          <w:rFonts w:cs="Arial"/>
          <w:noProof/>
        </w:rPr>
        <w:drawing>
          <wp:anchor distT="0" distB="0" distL="114300" distR="114300" simplePos="0" relativeHeight="251660288" behindDoc="0" locked="0" layoutInCell="1" allowOverlap="1" wp14:anchorId="375F0B3E" wp14:editId="49FD2436">
            <wp:simplePos x="0" y="0"/>
            <wp:positionH relativeFrom="column">
              <wp:posOffset>5688978</wp:posOffset>
            </wp:positionH>
            <wp:positionV relativeFrom="paragraph">
              <wp:posOffset>80459</wp:posOffset>
            </wp:positionV>
            <wp:extent cx="1149199" cy="1080000"/>
            <wp:effectExtent l="38100" t="38100" r="51435" b="44450"/>
            <wp:wrapThrough wrapText="bothSides">
              <wp:wrapPolygon edited="0">
                <wp:start x="6947" y="-126"/>
                <wp:lineTo x="-1978" y="2810"/>
                <wp:lineTo x="-141" y="14874"/>
                <wp:lineTo x="1541" y="17595"/>
                <wp:lineTo x="4970" y="19894"/>
                <wp:lineTo x="5049" y="20266"/>
                <wp:lineTo x="10495" y="21688"/>
                <wp:lineTo x="11002" y="22347"/>
                <wp:lineTo x="15194" y="21335"/>
                <wp:lineTo x="15385" y="20507"/>
                <wp:lineTo x="19642" y="16353"/>
                <wp:lineTo x="19991" y="16268"/>
                <wp:lineTo x="22296" y="9849"/>
                <wp:lineTo x="22217" y="9477"/>
                <wp:lineTo x="19282" y="4323"/>
                <wp:lineTo x="18885" y="2464"/>
                <wp:lineTo x="13044" y="-816"/>
                <wp:lineTo x="11139" y="-1138"/>
                <wp:lineTo x="6947" y="-126"/>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gfp(1).png"/>
                    <pic:cNvPicPr/>
                  </pic:nvPicPr>
                  <pic:blipFill>
                    <a:blip r:embed="rId6" cstate="print">
                      <a:extLst>
                        <a:ext uri="{28A0092B-C50C-407E-A947-70E740481C1C}">
                          <a14:useLocalDpi xmlns:a14="http://schemas.microsoft.com/office/drawing/2010/main" val="0"/>
                        </a:ext>
                      </a:extLst>
                    </a:blip>
                    <a:stretch>
                      <a:fillRect/>
                    </a:stretch>
                  </pic:blipFill>
                  <pic:spPr>
                    <a:xfrm rot="766822">
                      <a:off x="0" y="0"/>
                      <a:ext cx="1149199" cy="1080000"/>
                    </a:xfrm>
                    <a:prstGeom prst="rect">
                      <a:avLst/>
                    </a:prstGeom>
                  </pic:spPr>
                </pic:pic>
              </a:graphicData>
            </a:graphic>
          </wp:anchor>
        </w:drawing>
      </w:r>
      <w:bookmarkEnd w:id="0"/>
      <w:r w:rsidR="007162E9" w:rsidRPr="00737F7D">
        <w:rPr>
          <w:rFonts w:cs="Arial"/>
          <w:i/>
          <w:sz w:val="18"/>
          <w:szCs w:val="18"/>
        </w:rPr>
        <w:t xml:space="preserve">Le conseil municipal </w:t>
      </w:r>
      <w:r w:rsidR="007162E9" w:rsidRPr="00AC040C">
        <w:rPr>
          <w:rFonts w:cs="Arial"/>
          <w:i/>
          <w:color w:val="86C0C9" w:themeColor="accent3"/>
          <w:sz w:val="18"/>
          <w:szCs w:val="18"/>
        </w:rPr>
        <w:t>(le conseil d’administration)</w:t>
      </w:r>
    </w:p>
    <w:p w14:paraId="69240468" w14:textId="77777777" w:rsidR="008B4856" w:rsidRPr="00737F7D" w:rsidRDefault="008B4856" w:rsidP="008B4856">
      <w:pPr>
        <w:pStyle w:val="textecourant"/>
        <w:tabs>
          <w:tab w:val="left" w:pos="283"/>
        </w:tabs>
        <w:spacing w:before="57"/>
        <w:rPr>
          <w:i/>
        </w:rPr>
      </w:pPr>
    </w:p>
    <w:p w14:paraId="5A45CE9C" w14:textId="081EBE95" w:rsidR="002D7670" w:rsidRPr="002B66C6" w:rsidRDefault="00C97CCA" w:rsidP="002D7670">
      <w:pPr>
        <w:pStyle w:val="textecourant"/>
        <w:tabs>
          <w:tab w:val="left" w:pos="283"/>
        </w:tabs>
        <w:spacing w:before="57"/>
        <w:rPr>
          <w:i/>
          <w:color w:val="92D050"/>
          <w:szCs w:val="20"/>
        </w:rPr>
      </w:pPr>
      <w:r w:rsidRPr="002B66C6">
        <w:rPr>
          <w:b/>
          <w:i/>
          <w:color w:val="92D050"/>
          <w:szCs w:val="20"/>
        </w:rPr>
        <w:t>Vu l’article L712-1 du code général de la fonction publique</w:t>
      </w:r>
      <w:r w:rsidRPr="002B66C6">
        <w:rPr>
          <w:i/>
          <w:color w:val="92D050"/>
          <w:szCs w:val="20"/>
        </w:rPr>
        <w:t>,</w:t>
      </w:r>
    </w:p>
    <w:p w14:paraId="43141229" w14:textId="77777777" w:rsidR="002D7670" w:rsidRPr="002D7670" w:rsidRDefault="002D7670" w:rsidP="002D7670">
      <w:pPr>
        <w:pStyle w:val="textecourant"/>
        <w:tabs>
          <w:tab w:val="left" w:pos="283"/>
        </w:tabs>
        <w:spacing w:before="57"/>
        <w:rPr>
          <w:i/>
          <w:szCs w:val="20"/>
        </w:rPr>
      </w:pPr>
      <w:r w:rsidRPr="002D7670">
        <w:rPr>
          <w:i/>
          <w:szCs w:val="20"/>
        </w:rPr>
        <w:t>Vu le décret n° 91-298 du 20 mars 1991 portant dispositions statutaires applicables aux fonctionnaires territoriaux nommés dans des emplois permanents à temps non complet</w:t>
      </w:r>
    </w:p>
    <w:p w14:paraId="5AFFCAB1" w14:textId="4A233B7D" w:rsidR="002D7670" w:rsidRPr="002D7670" w:rsidRDefault="002D7670" w:rsidP="002D7670">
      <w:pPr>
        <w:pStyle w:val="textecourant"/>
        <w:tabs>
          <w:tab w:val="left" w:pos="283"/>
        </w:tabs>
        <w:spacing w:before="57"/>
        <w:rPr>
          <w:i/>
          <w:szCs w:val="20"/>
        </w:rPr>
      </w:pPr>
      <w:r w:rsidRPr="002D7670">
        <w:rPr>
          <w:i/>
          <w:szCs w:val="20"/>
        </w:rPr>
        <w:t>Vu le décret n° 2020-592 du 15 mai 2020 relatif aux modalités de calcul et à la majoration de la rémunération des heures complémentaires des agents de la fonction publique territoriale nommés dans des emplois permanents à temps non complet</w:t>
      </w:r>
    </w:p>
    <w:p w14:paraId="56299C1D" w14:textId="44AE182E" w:rsidR="002D7670" w:rsidRPr="002D7670" w:rsidRDefault="002D7670" w:rsidP="002D7670">
      <w:pPr>
        <w:pStyle w:val="textecourant"/>
        <w:tabs>
          <w:tab w:val="left" w:pos="283"/>
        </w:tabs>
        <w:spacing w:before="57"/>
        <w:rPr>
          <w:i/>
          <w:szCs w:val="20"/>
        </w:rPr>
      </w:pPr>
      <w:r w:rsidRPr="002D7670">
        <w:rPr>
          <w:i/>
          <w:szCs w:val="20"/>
        </w:rPr>
        <w:t xml:space="preserve">Considérant que le personnel de ____________ peut être appelé, selon les besoins du service, à effectuer des heures complémentaires dans la limite de la durée légale du travail sur la demande du maire </w:t>
      </w:r>
      <w:r w:rsidRPr="002D7670">
        <w:rPr>
          <w:i/>
          <w:color w:val="86C0C9" w:themeColor="accent3"/>
          <w:szCs w:val="20"/>
        </w:rPr>
        <w:t>(ou Président),</w:t>
      </w:r>
    </w:p>
    <w:p w14:paraId="1556E8A4" w14:textId="030CA353" w:rsidR="002D7670" w:rsidRPr="00795B87" w:rsidRDefault="00795B87" w:rsidP="002D7670">
      <w:pPr>
        <w:pStyle w:val="textecourant"/>
        <w:tabs>
          <w:tab w:val="left" w:pos="283"/>
        </w:tabs>
        <w:spacing w:before="57"/>
        <w:rPr>
          <w:i/>
          <w:color w:val="auto"/>
          <w:szCs w:val="20"/>
        </w:rPr>
      </w:pPr>
      <w:r w:rsidRPr="00795B87">
        <w:rPr>
          <w:i/>
          <w:color w:val="auto"/>
          <w:szCs w:val="20"/>
        </w:rPr>
        <w:t>Considérant que la collectivité a la possibilité de majorer les heures complémentaires,</w:t>
      </w:r>
    </w:p>
    <w:p w14:paraId="16E2596F" w14:textId="08D98E49" w:rsidR="00795B87" w:rsidRPr="00FC1E18" w:rsidRDefault="00795B87" w:rsidP="002D7670">
      <w:pPr>
        <w:pStyle w:val="textecourant"/>
        <w:tabs>
          <w:tab w:val="left" w:pos="283"/>
        </w:tabs>
        <w:spacing w:before="57"/>
        <w:rPr>
          <w:i/>
          <w:color w:val="auto"/>
          <w:szCs w:val="20"/>
        </w:rPr>
      </w:pPr>
      <w:r w:rsidRPr="00FC1E18">
        <w:rPr>
          <w:i/>
          <w:color w:val="auto"/>
          <w:szCs w:val="20"/>
        </w:rPr>
        <w:t>Considérant que les instruments de décompte du temps de travail sont mis en place (badgeuse, feuille de pointage,…)</w:t>
      </w:r>
    </w:p>
    <w:p w14:paraId="0684B146" w14:textId="77777777" w:rsidR="002D7670" w:rsidRPr="002D7670" w:rsidRDefault="002D7670" w:rsidP="002D7670">
      <w:pPr>
        <w:pStyle w:val="textecourant"/>
        <w:tabs>
          <w:tab w:val="left" w:pos="283"/>
        </w:tabs>
        <w:spacing w:before="57"/>
        <w:rPr>
          <w:szCs w:val="20"/>
        </w:rPr>
      </w:pPr>
      <w:r w:rsidRPr="002D7670">
        <w:rPr>
          <w:szCs w:val="20"/>
        </w:rPr>
        <w:t>et après en avoir délibéré,</w:t>
      </w:r>
    </w:p>
    <w:p w14:paraId="2E102210" w14:textId="77777777" w:rsidR="002D7670" w:rsidRDefault="002D7670" w:rsidP="00565D14"/>
    <w:p w14:paraId="50B41BEE" w14:textId="77777777" w:rsidR="00DA4149" w:rsidRPr="002D7670" w:rsidRDefault="00DA4149" w:rsidP="00565D14"/>
    <w:p w14:paraId="3BF794C8" w14:textId="77777777" w:rsidR="002D7670" w:rsidRPr="002D7670" w:rsidRDefault="002D7670" w:rsidP="00565D14">
      <w:pPr>
        <w:rPr>
          <w:b/>
          <w:bCs/>
        </w:rPr>
      </w:pPr>
      <w:r w:rsidRPr="002D7670">
        <w:rPr>
          <w:b/>
          <w:bCs/>
          <w:u w:val="single"/>
        </w:rPr>
        <w:t>décide</w:t>
      </w:r>
      <w:r w:rsidRPr="002D7670">
        <w:rPr>
          <w:b/>
          <w:bCs/>
        </w:rPr>
        <w:t xml:space="preserve"> :</w:t>
      </w:r>
    </w:p>
    <w:p w14:paraId="241395BF" w14:textId="77777777" w:rsidR="002D7670" w:rsidRPr="002D7670" w:rsidRDefault="002D7670" w:rsidP="00565D14"/>
    <w:p w14:paraId="1E64991B" w14:textId="77777777" w:rsidR="002D7670" w:rsidRPr="002D7670" w:rsidRDefault="002D7670" w:rsidP="00565D14"/>
    <w:p w14:paraId="145256AF" w14:textId="77777777" w:rsidR="002D7670" w:rsidRPr="002D7670" w:rsidRDefault="002D7670" w:rsidP="00565D14">
      <w:pPr>
        <w:rPr>
          <w:b/>
          <w:bCs/>
        </w:rPr>
      </w:pPr>
      <w:r w:rsidRPr="002D7670">
        <w:rPr>
          <w:b/>
          <w:bCs/>
          <w:u w:val="single"/>
        </w:rPr>
        <w:t>Article 1</w:t>
      </w:r>
      <w:r w:rsidRPr="002D7670">
        <w:rPr>
          <w:b/>
          <w:bCs/>
        </w:rPr>
        <w:t xml:space="preserve"> : Objet</w:t>
      </w:r>
    </w:p>
    <w:p w14:paraId="35D4420E" w14:textId="059562DE" w:rsidR="002D7670" w:rsidRPr="002D7670" w:rsidRDefault="00565D14" w:rsidP="00565D14">
      <w:r>
        <w:t xml:space="preserve">La majoration des heures complémentaires </w:t>
      </w:r>
      <w:r w:rsidR="002D7670" w:rsidRPr="002D7670">
        <w:t>est institué</w:t>
      </w:r>
      <w:r>
        <w:t>e</w:t>
      </w:r>
      <w:r w:rsidR="002D7670" w:rsidRPr="002D7670">
        <w:t xml:space="preserve"> par référence </w:t>
      </w:r>
      <w:r>
        <w:t>au</w:t>
      </w:r>
      <w:r w:rsidR="002D7670" w:rsidRPr="002D7670">
        <w:t xml:space="preserve"> décret n° </w:t>
      </w:r>
      <w:r>
        <w:t>2020-592 du 15 mai 2020</w:t>
      </w:r>
      <w:r w:rsidR="002D7670" w:rsidRPr="002D7670">
        <w:t xml:space="preserve"> précité au profit du personnel.</w:t>
      </w:r>
    </w:p>
    <w:p w14:paraId="2AF6DBB1" w14:textId="77777777" w:rsidR="002D7670" w:rsidRPr="002D7670" w:rsidRDefault="002D7670" w:rsidP="00565D14"/>
    <w:p w14:paraId="5B56EF83" w14:textId="77777777" w:rsidR="002D7670" w:rsidRPr="002D7670" w:rsidRDefault="002D7670" w:rsidP="00565D14"/>
    <w:p w14:paraId="312F691B" w14:textId="77777777" w:rsidR="002D7670" w:rsidRPr="002D7670" w:rsidRDefault="002D7670" w:rsidP="00565D14">
      <w:r w:rsidRPr="002D7670">
        <w:rPr>
          <w:b/>
          <w:bCs/>
          <w:u w:val="single"/>
        </w:rPr>
        <w:t>Article 2</w:t>
      </w:r>
      <w:r w:rsidRPr="002D7670">
        <w:rPr>
          <w:b/>
          <w:bCs/>
        </w:rPr>
        <w:t xml:space="preserve"> : Bénéficiaires</w:t>
      </w:r>
    </w:p>
    <w:p w14:paraId="02DFF599" w14:textId="0E29BE37" w:rsidR="002D7670" w:rsidRPr="002D7670" w:rsidRDefault="002D7670" w:rsidP="00565D14">
      <w:r w:rsidRPr="002D7670">
        <w:t>Agent</w:t>
      </w:r>
      <w:r w:rsidR="00565D14">
        <w:t xml:space="preserve">s titulaires </w:t>
      </w:r>
      <w:r w:rsidR="00795B87">
        <w:t>et contractuels</w:t>
      </w:r>
      <w:r w:rsidR="00565D14">
        <w:t xml:space="preserve"> à temps non complet</w:t>
      </w:r>
      <w:r w:rsidR="00795B87">
        <w:t xml:space="preserve"> </w:t>
      </w:r>
      <w:r w:rsidR="00795B87" w:rsidRPr="00FC1E18">
        <w:rPr>
          <w:b/>
        </w:rPr>
        <w:t>sur un emploi permanent</w:t>
      </w:r>
      <w:r w:rsidR="00795B87" w:rsidRPr="00795B87">
        <w:rPr>
          <w:color w:val="FF00FF"/>
        </w:rPr>
        <w:t>.</w:t>
      </w:r>
    </w:p>
    <w:p w14:paraId="64DD9851" w14:textId="77777777" w:rsidR="002D7670" w:rsidRPr="002D7670" w:rsidRDefault="002D7670" w:rsidP="00565D14"/>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4111"/>
      </w:tblGrid>
      <w:tr w:rsidR="002D7670" w:rsidRPr="002D7670" w14:paraId="379D4469" w14:textId="77777777" w:rsidTr="00565D14">
        <w:tc>
          <w:tcPr>
            <w:tcW w:w="3119" w:type="dxa"/>
            <w:shd w:val="clear" w:color="auto" w:fill="auto"/>
          </w:tcPr>
          <w:p w14:paraId="24293BF0" w14:textId="77777777" w:rsidR="002D7670" w:rsidRPr="002D7670" w:rsidRDefault="002D7670" w:rsidP="00565D14">
            <w:r w:rsidRPr="002D7670">
              <w:t>Filière</w:t>
            </w:r>
          </w:p>
        </w:tc>
        <w:tc>
          <w:tcPr>
            <w:tcW w:w="3402" w:type="dxa"/>
            <w:shd w:val="clear" w:color="auto" w:fill="auto"/>
          </w:tcPr>
          <w:p w14:paraId="5CED2EDE" w14:textId="77777777" w:rsidR="002D7670" w:rsidRPr="002D7670" w:rsidRDefault="002D7670" w:rsidP="00565D14">
            <w:r w:rsidRPr="002D7670">
              <w:t>Grade ou cadre d’emplois</w:t>
            </w:r>
          </w:p>
        </w:tc>
        <w:tc>
          <w:tcPr>
            <w:tcW w:w="4111" w:type="dxa"/>
            <w:shd w:val="clear" w:color="auto" w:fill="auto"/>
          </w:tcPr>
          <w:p w14:paraId="122BDBD5" w14:textId="77777777" w:rsidR="002D7670" w:rsidRPr="002D7670" w:rsidRDefault="002D7670" w:rsidP="00565D14">
            <w:r w:rsidRPr="002D7670">
              <w:t>Services</w:t>
            </w:r>
          </w:p>
        </w:tc>
      </w:tr>
      <w:tr w:rsidR="002D7670" w:rsidRPr="002D7670" w14:paraId="4117158F" w14:textId="77777777" w:rsidTr="00565D14">
        <w:tc>
          <w:tcPr>
            <w:tcW w:w="3119" w:type="dxa"/>
            <w:shd w:val="clear" w:color="auto" w:fill="auto"/>
          </w:tcPr>
          <w:p w14:paraId="2756354E" w14:textId="77777777" w:rsidR="002D7670" w:rsidRPr="002D7670" w:rsidRDefault="002D7670" w:rsidP="00565D14"/>
        </w:tc>
        <w:tc>
          <w:tcPr>
            <w:tcW w:w="3402" w:type="dxa"/>
            <w:shd w:val="clear" w:color="auto" w:fill="auto"/>
          </w:tcPr>
          <w:p w14:paraId="3147BDEA" w14:textId="77777777" w:rsidR="002D7670" w:rsidRPr="002D7670" w:rsidRDefault="002D7670" w:rsidP="00565D14"/>
        </w:tc>
        <w:tc>
          <w:tcPr>
            <w:tcW w:w="4111" w:type="dxa"/>
            <w:shd w:val="clear" w:color="auto" w:fill="auto"/>
          </w:tcPr>
          <w:p w14:paraId="284D85E9" w14:textId="77777777" w:rsidR="002D7670" w:rsidRPr="002D7670" w:rsidRDefault="002D7670" w:rsidP="00565D14"/>
        </w:tc>
      </w:tr>
      <w:tr w:rsidR="002D7670" w:rsidRPr="002D7670" w14:paraId="21F2944E" w14:textId="77777777" w:rsidTr="00565D14">
        <w:tc>
          <w:tcPr>
            <w:tcW w:w="3119" w:type="dxa"/>
            <w:shd w:val="clear" w:color="auto" w:fill="auto"/>
          </w:tcPr>
          <w:p w14:paraId="2DA2E797" w14:textId="77777777" w:rsidR="002D7670" w:rsidRPr="002D7670" w:rsidRDefault="002D7670" w:rsidP="00565D14"/>
        </w:tc>
        <w:tc>
          <w:tcPr>
            <w:tcW w:w="3402" w:type="dxa"/>
            <w:shd w:val="clear" w:color="auto" w:fill="auto"/>
          </w:tcPr>
          <w:p w14:paraId="5D9B611F" w14:textId="77777777" w:rsidR="002D7670" w:rsidRPr="002D7670" w:rsidRDefault="002D7670" w:rsidP="00565D14"/>
        </w:tc>
        <w:tc>
          <w:tcPr>
            <w:tcW w:w="4111" w:type="dxa"/>
            <w:shd w:val="clear" w:color="auto" w:fill="auto"/>
          </w:tcPr>
          <w:p w14:paraId="2CE9D73A" w14:textId="77777777" w:rsidR="002D7670" w:rsidRPr="002D7670" w:rsidRDefault="002D7670" w:rsidP="00565D14"/>
        </w:tc>
      </w:tr>
      <w:tr w:rsidR="002D7670" w:rsidRPr="002D7670" w14:paraId="6C2E8CF2" w14:textId="77777777" w:rsidTr="00565D14">
        <w:tc>
          <w:tcPr>
            <w:tcW w:w="3119" w:type="dxa"/>
            <w:shd w:val="clear" w:color="auto" w:fill="auto"/>
          </w:tcPr>
          <w:p w14:paraId="72302BB5" w14:textId="77777777" w:rsidR="002D7670" w:rsidRPr="002D7670" w:rsidRDefault="002D7670" w:rsidP="00565D14"/>
        </w:tc>
        <w:tc>
          <w:tcPr>
            <w:tcW w:w="3402" w:type="dxa"/>
            <w:shd w:val="clear" w:color="auto" w:fill="auto"/>
          </w:tcPr>
          <w:p w14:paraId="3D09A183" w14:textId="77777777" w:rsidR="002D7670" w:rsidRPr="002D7670" w:rsidRDefault="002D7670" w:rsidP="00565D14"/>
        </w:tc>
        <w:tc>
          <w:tcPr>
            <w:tcW w:w="4111" w:type="dxa"/>
            <w:shd w:val="clear" w:color="auto" w:fill="auto"/>
          </w:tcPr>
          <w:p w14:paraId="3585E1A7" w14:textId="77777777" w:rsidR="002D7670" w:rsidRPr="002D7670" w:rsidRDefault="002D7670" w:rsidP="00565D14"/>
        </w:tc>
      </w:tr>
    </w:tbl>
    <w:p w14:paraId="50E2127B" w14:textId="77777777" w:rsidR="002D7670" w:rsidRPr="00565D14" w:rsidRDefault="002D7670" w:rsidP="00565D14">
      <w:pPr>
        <w:rPr>
          <w:i/>
          <w:color w:val="86C0C9" w:themeColor="accent3"/>
        </w:rPr>
      </w:pPr>
      <w:r w:rsidRPr="00565D14">
        <w:rPr>
          <w:i/>
          <w:color w:val="86C0C9" w:themeColor="accent3"/>
        </w:rPr>
        <w:t>Attention : Si vous remplissez le tableau, veillez à bien insérer tous les cadres d’emplois concernés. En cas d’oubli de cadre d’emplois ou de grade, une nouvelle délibération s’impose.</w:t>
      </w:r>
    </w:p>
    <w:p w14:paraId="0A6EB12D" w14:textId="77777777" w:rsidR="002D7670" w:rsidRDefault="002D7670" w:rsidP="00565D14">
      <w:pPr>
        <w:rPr>
          <w:color w:val="86C0C9" w:themeColor="accent3"/>
        </w:rPr>
      </w:pPr>
    </w:p>
    <w:p w14:paraId="0941EC9B" w14:textId="77777777" w:rsidR="002779EE" w:rsidRPr="00565D14" w:rsidRDefault="002779EE" w:rsidP="00565D14">
      <w:pPr>
        <w:rPr>
          <w:color w:val="86C0C9" w:themeColor="accent3"/>
        </w:rPr>
      </w:pPr>
    </w:p>
    <w:p w14:paraId="538FCC4F" w14:textId="77777777" w:rsidR="002D7670" w:rsidRPr="002D7670" w:rsidRDefault="002D7670" w:rsidP="00565D14">
      <w:r w:rsidRPr="002D7670">
        <w:rPr>
          <w:b/>
          <w:bCs/>
          <w:u w:val="single"/>
        </w:rPr>
        <w:t>Article 3</w:t>
      </w:r>
      <w:r w:rsidRPr="002D7670">
        <w:t xml:space="preserve"> : </w:t>
      </w:r>
      <w:r w:rsidRPr="002D7670">
        <w:rPr>
          <w:b/>
          <w:bCs/>
        </w:rPr>
        <w:t>Conditions d'attribution</w:t>
      </w:r>
    </w:p>
    <w:p w14:paraId="42A23238" w14:textId="77777777" w:rsidR="002D7670" w:rsidRDefault="002D7670" w:rsidP="00565D14"/>
    <w:p w14:paraId="2E20A3AE" w14:textId="3BD0DA0D" w:rsidR="00565D14" w:rsidRPr="002D7670" w:rsidRDefault="00565D14" w:rsidP="00565D14">
      <w:r w:rsidRPr="002D7670">
        <w:t xml:space="preserve">Les agents titulaires et </w:t>
      </w:r>
      <w:r w:rsidR="00795B87">
        <w:t>contractuels</w:t>
      </w:r>
      <w:r w:rsidRPr="002D7670">
        <w:t xml:space="preserve"> à temps non complet peuvent être autorisés à effectuer des heures complémentaires en plus de leur temps de travail, en raison des nécessités de service et à la demande du Maire </w:t>
      </w:r>
      <w:r w:rsidRPr="00565D14">
        <w:rPr>
          <w:color w:val="86C0C9" w:themeColor="accent3"/>
        </w:rPr>
        <w:t>(</w:t>
      </w:r>
      <w:r w:rsidRPr="00565D14">
        <w:rPr>
          <w:i/>
          <w:iCs/>
          <w:color w:val="86C0C9" w:themeColor="accent3"/>
        </w:rPr>
        <w:t>ou</w:t>
      </w:r>
      <w:r w:rsidRPr="00565D14">
        <w:rPr>
          <w:color w:val="86C0C9" w:themeColor="accent3"/>
        </w:rPr>
        <w:t xml:space="preserve"> </w:t>
      </w:r>
      <w:r w:rsidRPr="00565D14">
        <w:rPr>
          <w:i/>
          <w:iCs/>
          <w:color w:val="86C0C9" w:themeColor="accent3"/>
        </w:rPr>
        <w:t>Président</w:t>
      </w:r>
      <w:r w:rsidRPr="00565D14">
        <w:rPr>
          <w:color w:val="86C0C9" w:themeColor="accent3"/>
        </w:rPr>
        <w:t>)</w:t>
      </w:r>
      <w:r w:rsidRPr="002D7670">
        <w:t xml:space="preserve">. Le nombre d’heures complémentaires effectuées par les agents à temps non complet ne peut conduire au dépassement du temps légal par semaine. Les heures effectuées au-delà du temps légal par semaine relèveront du régime des heures supplémentaires. </w:t>
      </w:r>
    </w:p>
    <w:p w14:paraId="5763E3A2" w14:textId="77777777" w:rsidR="00565D14" w:rsidRDefault="00565D14" w:rsidP="00565D14"/>
    <w:p w14:paraId="5611F070" w14:textId="77777777" w:rsidR="002779EE" w:rsidRPr="002D7670" w:rsidRDefault="002779EE" w:rsidP="002779EE">
      <w:r w:rsidRPr="002D7670">
        <w:t>Ne donneront lieu à indemnisation que les heures effectivement réalisées et non récupérées.</w:t>
      </w:r>
    </w:p>
    <w:p w14:paraId="767DE047" w14:textId="77777777" w:rsidR="002779EE" w:rsidRPr="002D7670" w:rsidRDefault="002779EE" w:rsidP="00565D14"/>
    <w:p w14:paraId="636D6C60" w14:textId="77777777" w:rsidR="002D7670" w:rsidRPr="002D7670" w:rsidRDefault="002D7670" w:rsidP="00565D14"/>
    <w:p w14:paraId="77E39D80" w14:textId="77777777" w:rsidR="002D7670" w:rsidRPr="002D7670" w:rsidRDefault="002D7670" w:rsidP="00565D14">
      <w:r w:rsidRPr="002D7670">
        <w:rPr>
          <w:b/>
          <w:bCs/>
          <w:u w:val="single"/>
        </w:rPr>
        <w:t>Article 4</w:t>
      </w:r>
      <w:r w:rsidRPr="002D7670">
        <w:rPr>
          <w:b/>
          <w:bCs/>
        </w:rPr>
        <w:t xml:space="preserve"> : Taux</w:t>
      </w:r>
    </w:p>
    <w:p w14:paraId="22F26FE0" w14:textId="363B4BAB" w:rsidR="00565D14" w:rsidRPr="00565D14" w:rsidRDefault="00565D14" w:rsidP="00565D14">
      <w:r>
        <w:t>L</w:t>
      </w:r>
      <w:r w:rsidRPr="00565D14">
        <w:t xml:space="preserve">e taux de majoration des heures complémentaires </w:t>
      </w:r>
      <w:r>
        <w:t>est</w:t>
      </w:r>
      <w:r w:rsidRPr="00565D14">
        <w:t xml:space="preserve"> </w:t>
      </w:r>
    </w:p>
    <w:p w14:paraId="49BAA9C3" w14:textId="77777777" w:rsidR="00565D14" w:rsidRPr="00565D14" w:rsidRDefault="00C70044" w:rsidP="00565D14">
      <w:pPr>
        <w:pStyle w:val="Paragraphedeliste"/>
      </w:pPr>
      <w:r w:rsidRPr="00565D14">
        <w:t xml:space="preserve">de 10 % pour chacune des heures complémentaires accomplies </w:t>
      </w:r>
      <w:r w:rsidRPr="00565D14">
        <w:rPr>
          <w:b/>
        </w:rPr>
        <w:t>dans la limite du dixième</w:t>
      </w:r>
      <w:r w:rsidRPr="00565D14">
        <w:t xml:space="preserve"> des heures hebdomadaires de service afférentes à l'emploi à temps non complet </w:t>
      </w:r>
    </w:p>
    <w:p w14:paraId="190F6FF7" w14:textId="1E80A9A9" w:rsidR="00565D14" w:rsidRPr="00565D14" w:rsidRDefault="00C70044" w:rsidP="00565D14">
      <w:pPr>
        <w:pStyle w:val="Paragraphedeliste"/>
      </w:pPr>
      <w:r w:rsidRPr="00565D14">
        <w:t xml:space="preserve">et de </w:t>
      </w:r>
      <w:r w:rsidR="00565D14">
        <w:t>25 % pour les heures suivantes dans la limite de la durée légale de travail (35h).</w:t>
      </w:r>
    </w:p>
    <w:p w14:paraId="0C2387F4" w14:textId="77777777" w:rsidR="002D7670" w:rsidRDefault="002D7670" w:rsidP="00565D14">
      <w:pPr>
        <w:rPr>
          <w:u w:val="single"/>
        </w:rPr>
      </w:pPr>
    </w:p>
    <w:p w14:paraId="240515E8" w14:textId="27D11604" w:rsidR="00565D14" w:rsidRDefault="00565D14" w:rsidP="00565D14">
      <w:pPr>
        <w:pStyle w:val="Style1"/>
        <w:rPr>
          <w:lang w:val="fr-FR"/>
        </w:rPr>
      </w:pPr>
      <w:r w:rsidRPr="00565D14">
        <w:t>Pour rappel, l</w:t>
      </w:r>
      <w:r w:rsidRPr="00565D14">
        <w:rPr>
          <w:lang w:val="fr-FR"/>
        </w:rPr>
        <w:t>a</w:t>
      </w:r>
      <w:r w:rsidRPr="002A743C">
        <w:rPr>
          <w:lang w:val="fr-FR"/>
        </w:rPr>
        <w:t xml:space="preserve"> rémunération d'une heure complémentaire</w:t>
      </w:r>
      <w:r w:rsidR="00DC7506">
        <w:rPr>
          <w:lang w:val="fr-FR"/>
        </w:rPr>
        <w:t xml:space="preserve"> normale</w:t>
      </w:r>
      <w:r w:rsidRPr="002A743C">
        <w:rPr>
          <w:lang w:val="fr-FR"/>
        </w:rPr>
        <w:t xml:space="preserve"> est déterminée en divisant par 1820 la somme du montant annuel du traitement brut d'un agent au même indice exerçant à temps complet (y compris la NBI éventuelle) </w:t>
      </w:r>
    </w:p>
    <w:p w14:paraId="48F9741D" w14:textId="7EF061EF" w:rsidR="00565D14" w:rsidRDefault="00565D14" w:rsidP="00565D14">
      <w:pPr>
        <w:rPr>
          <w:u w:val="single"/>
        </w:rPr>
      </w:pPr>
    </w:p>
    <w:p w14:paraId="32ACF653" w14:textId="77777777" w:rsidR="00565D14" w:rsidRPr="002D7670" w:rsidRDefault="00565D14" w:rsidP="00565D14">
      <w:pPr>
        <w:rPr>
          <w:u w:val="single"/>
        </w:rPr>
      </w:pPr>
    </w:p>
    <w:p w14:paraId="4A2342AE" w14:textId="28A04C7C" w:rsidR="00DA4149" w:rsidRDefault="00DA4149">
      <w:pPr>
        <w:spacing w:after="200" w:line="276" w:lineRule="auto"/>
        <w:jc w:val="left"/>
        <w:rPr>
          <w:u w:val="single"/>
        </w:rPr>
      </w:pPr>
      <w:r>
        <w:rPr>
          <w:u w:val="single"/>
        </w:rPr>
        <w:br w:type="page"/>
      </w:r>
    </w:p>
    <w:p w14:paraId="28A2EE6A" w14:textId="77777777" w:rsidR="002D7670" w:rsidRPr="002D7670" w:rsidRDefault="002D7670" w:rsidP="00565D14">
      <w:pPr>
        <w:rPr>
          <w:u w:val="single"/>
        </w:rPr>
      </w:pPr>
    </w:p>
    <w:p w14:paraId="527150F0" w14:textId="77777777" w:rsidR="002D7670" w:rsidRDefault="002D7670" w:rsidP="00565D14">
      <w:pPr>
        <w:rPr>
          <w:u w:val="single"/>
        </w:rPr>
      </w:pPr>
    </w:p>
    <w:p w14:paraId="0DA12949" w14:textId="77777777" w:rsidR="00DA4149" w:rsidRPr="002D7670" w:rsidRDefault="00DA4149" w:rsidP="00565D14">
      <w:pPr>
        <w:rPr>
          <w:u w:val="single"/>
        </w:rPr>
      </w:pPr>
    </w:p>
    <w:p w14:paraId="603AD94F" w14:textId="7BB3FD67" w:rsidR="002D7670" w:rsidRPr="002D7670" w:rsidRDefault="002D7670" w:rsidP="00565D14">
      <w:r w:rsidRPr="002D7670">
        <w:rPr>
          <w:b/>
          <w:bCs/>
          <w:u w:val="single"/>
        </w:rPr>
        <w:t xml:space="preserve">Article </w:t>
      </w:r>
      <w:r w:rsidR="001B02EB">
        <w:rPr>
          <w:b/>
          <w:bCs/>
          <w:u w:val="single"/>
        </w:rPr>
        <w:t>5</w:t>
      </w:r>
      <w:r w:rsidRPr="002D7670">
        <w:rPr>
          <w:b/>
          <w:bCs/>
        </w:rPr>
        <w:t xml:space="preserve"> :</w:t>
      </w:r>
      <w:r w:rsidRPr="002D7670">
        <w:t xml:space="preserve"> </w:t>
      </w:r>
      <w:r w:rsidRPr="002D7670">
        <w:rPr>
          <w:b/>
          <w:bCs/>
        </w:rPr>
        <w:t>Paiement</w:t>
      </w:r>
    </w:p>
    <w:p w14:paraId="4CAF8889" w14:textId="0264209A" w:rsidR="002D7670" w:rsidRPr="002D7670" w:rsidRDefault="002D7670" w:rsidP="00565D14">
      <w:r w:rsidRPr="002D7670">
        <w:t>Le paiement des heures complémentaires se fera sur pr</w:t>
      </w:r>
      <w:r w:rsidR="005E26A1">
        <w:t>oduction par le M</w:t>
      </w:r>
      <w:r w:rsidRPr="002D7670">
        <w:t xml:space="preserve">aire </w:t>
      </w:r>
      <w:r w:rsidRPr="00565D14">
        <w:rPr>
          <w:color w:val="86C0C9" w:themeColor="accent3"/>
        </w:rPr>
        <w:t>(</w:t>
      </w:r>
      <w:r w:rsidRPr="00565D14">
        <w:rPr>
          <w:i/>
          <w:color w:val="86C0C9" w:themeColor="accent3"/>
        </w:rPr>
        <w:t>ou Président</w:t>
      </w:r>
      <w:r w:rsidRPr="00565D14">
        <w:rPr>
          <w:color w:val="86C0C9" w:themeColor="accent3"/>
        </w:rPr>
        <w:t xml:space="preserve">) </w:t>
      </w:r>
      <w:r w:rsidRPr="002D7670">
        <w:t xml:space="preserve">d'un état mensuel nominatif constatant le nombre d'heures à payer ou à récupérer par l'agent. </w:t>
      </w:r>
    </w:p>
    <w:p w14:paraId="0515CBA3" w14:textId="77777777" w:rsidR="002D7670" w:rsidRPr="002D7670" w:rsidRDefault="002D7670" w:rsidP="00565D14"/>
    <w:p w14:paraId="3031D3DA" w14:textId="77777777" w:rsidR="002D7670" w:rsidRPr="002D7670" w:rsidRDefault="002D7670" w:rsidP="00565D14"/>
    <w:p w14:paraId="02992F69" w14:textId="740786BF" w:rsidR="002D7670" w:rsidRPr="002D7670" w:rsidRDefault="002D7670" w:rsidP="00565D14">
      <w:r w:rsidRPr="002D7670">
        <w:rPr>
          <w:b/>
          <w:bCs/>
          <w:u w:val="single"/>
        </w:rPr>
        <w:t xml:space="preserve">Article </w:t>
      </w:r>
      <w:r w:rsidR="001B02EB">
        <w:rPr>
          <w:b/>
          <w:bCs/>
          <w:u w:val="single"/>
        </w:rPr>
        <w:t>6</w:t>
      </w:r>
      <w:r w:rsidRPr="002D7670">
        <w:t xml:space="preserve"> : </w:t>
      </w:r>
      <w:r w:rsidRPr="002D7670">
        <w:rPr>
          <w:b/>
          <w:bCs/>
        </w:rPr>
        <w:t>Exécution</w:t>
      </w:r>
    </w:p>
    <w:p w14:paraId="49BC811F" w14:textId="6C212F77" w:rsidR="002D7670" w:rsidRPr="002D7670" w:rsidRDefault="002D7670" w:rsidP="00565D14">
      <w:r w:rsidRPr="002D7670">
        <w:t>Le Maire</w:t>
      </w:r>
      <w:r w:rsidR="00565D14">
        <w:t xml:space="preserve"> </w:t>
      </w:r>
      <w:r w:rsidR="00565D14" w:rsidRPr="00565D14">
        <w:rPr>
          <w:color w:val="86C0C9" w:themeColor="accent3"/>
        </w:rPr>
        <w:t>(</w:t>
      </w:r>
      <w:r w:rsidR="00565D14" w:rsidRPr="00565D14">
        <w:rPr>
          <w:i/>
          <w:color w:val="86C0C9" w:themeColor="accent3"/>
        </w:rPr>
        <w:t>ou Président</w:t>
      </w:r>
      <w:r w:rsidR="00565D14" w:rsidRPr="00565D14">
        <w:rPr>
          <w:color w:val="86C0C9" w:themeColor="accent3"/>
        </w:rPr>
        <w:t xml:space="preserve">) </w:t>
      </w:r>
      <w:r w:rsidRPr="002D7670">
        <w:t>et le Comptable public sont chargés chacun pour ce qui le concerne de l'exécution de la présente délibération qui sera transmise au représentant de l'Etat dans le département pour contrôle de légalité.</w:t>
      </w:r>
    </w:p>
    <w:p w14:paraId="5FB26205" w14:textId="77777777" w:rsidR="002D7670" w:rsidRPr="002D7670" w:rsidRDefault="002D7670" w:rsidP="00565D14"/>
    <w:p w14:paraId="59674FE7" w14:textId="77777777" w:rsidR="002D7670" w:rsidRPr="002D7670" w:rsidRDefault="002D7670" w:rsidP="00565D14"/>
    <w:p w14:paraId="6B7134F2" w14:textId="4476BC6F" w:rsidR="002D7670" w:rsidRPr="002D7670" w:rsidRDefault="002D7670" w:rsidP="00565D14">
      <w:r w:rsidRPr="002D7670">
        <w:rPr>
          <w:b/>
          <w:bCs/>
          <w:u w:val="single"/>
        </w:rPr>
        <w:t xml:space="preserve">Article </w:t>
      </w:r>
      <w:r w:rsidR="001B02EB">
        <w:rPr>
          <w:b/>
          <w:bCs/>
          <w:u w:val="single"/>
        </w:rPr>
        <w:t>7</w:t>
      </w:r>
      <w:r w:rsidRPr="002D7670">
        <w:t xml:space="preserve"> : </w:t>
      </w:r>
    </w:p>
    <w:p w14:paraId="7109148F" w14:textId="77777777" w:rsidR="002D7670" w:rsidRPr="002D7670" w:rsidRDefault="002D7670" w:rsidP="00565D14">
      <w:r w:rsidRPr="002D7670">
        <w:t>La présente délibération prendra effet au _______________.</w:t>
      </w:r>
    </w:p>
    <w:p w14:paraId="04669A7A" w14:textId="77777777" w:rsidR="002D7670" w:rsidRPr="002D7670" w:rsidRDefault="002D7670" w:rsidP="00565D14"/>
    <w:p w14:paraId="6F40FCC7" w14:textId="77777777" w:rsidR="002D7670" w:rsidRPr="002D7670" w:rsidRDefault="002D7670" w:rsidP="00565D14"/>
    <w:p w14:paraId="2B2E62EB" w14:textId="02596EE4" w:rsidR="002D7670" w:rsidRPr="002D7670" w:rsidRDefault="002D7670" w:rsidP="00565D14">
      <w:pPr>
        <w:rPr>
          <w:b/>
          <w:bCs/>
          <w:u w:val="single"/>
        </w:rPr>
      </w:pPr>
      <w:r w:rsidRPr="002D7670">
        <w:rPr>
          <w:b/>
          <w:bCs/>
          <w:u w:val="single"/>
        </w:rPr>
        <w:t xml:space="preserve">Article </w:t>
      </w:r>
      <w:r w:rsidR="001B02EB">
        <w:rPr>
          <w:b/>
          <w:bCs/>
          <w:u w:val="single"/>
        </w:rPr>
        <w:t>8</w:t>
      </w:r>
      <w:r w:rsidRPr="002D7670">
        <w:rPr>
          <w:b/>
          <w:bCs/>
        </w:rPr>
        <w:t xml:space="preserve"> :</w:t>
      </w:r>
      <w:r w:rsidRPr="002D7670">
        <w:t xml:space="preserve"> </w:t>
      </w:r>
      <w:r w:rsidRPr="002D7670">
        <w:rPr>
          <w:b/>
          <w:bCs/>
        </w:rPr>
        <w:t xml:space="preserve">Voies et délais de recours </w:t>
      </w:r>
    </w:p>
    <w:p w14:paraId="2D959854" w14:textId="77777777" w:rsidR="002D7670" w:rsidRPr="002D7670" w:rsidRDefault="002D7670" w:rsidP="00565D14">
      <w:r w:rsidRPr="002D7670">
        <w:t xml:space="preserve">Le Maire </w:t>
      </w:r>
      <w:r w:rsidRPr="00565D14">
        <w:rPr>
          <w:color w:val="86C0C9" w:themeColor="accent3"/>
        </w:rPr>
        <w:t>(</w:t>
      </w:r>
      <w:r w:rsidRPr="00565D14">
        <w:rPr>
          <w:i/>
          <w:color w:val="86C0C9" w:themeColor="accent3"/>
        </w:rPr>
        <w:t>Président</w:t>
      </w:r>
      <w:r w:rsidRPr="00565D14">
        <w:rPr>
          <w:color w:val="86C0C9" w:themeColor="accent3"/>
        </w:rPr>
        <w:t xml:space="preserve">) </w:t>
      </w:r>
      <w:r w:rsidRPr="002D7670">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5F01A8E1" w14:textId="77777777" w:rsidR="002D7670" w:rsidRPr="002D7670" w:rsidRDefault="002D7670" w:rsidP="00565D14"/>
    <w:p w14:paraId="5DB89BD3" w14:textId="77777777" w:rsidR="002D7670" w:rsidRPr="002D7670" w:rsidRDefault="002D7670" w:rsidP="00565D14"/>
    <w:p w14:paraId="7DCF6724" w14:textId="77777777" w:rsidR="002D7670" w:rsidRDefault="002D7670" w:rsidP="00A46410">
      <w:pPr>
        <w:pStyle w:val="textecourant"/>
        <w:tabs>
          <w:tab w:val="left" w:pos="283"/>
        </w:tabs>
        <w:spacing w:before="57"/>
        <w:rPr>
          <w:sz w:val="20"/>
          <w:szCs w:val="20"/>
        </w:rPr>
      </w:pPr>
    </w:p>
    <w:p w14:paraId="5FDCC7B7" w14:textId="77777777" w:rsidR="00A4642B" w:rsidRPr="002610C4" w:rsidRDefault="00A4642B" w:rsidP="00A4642B">
      <w:pPr>
        <w:pStyle w:val="textecourant"/>
        <w:tabs>
          <w:tab w:val="left" w:pos="283"/>
        </w:tabs>
        <w:spacing w:before="57"/>
        <w:rPr>
          <w:sz w:val="20"/>
          <w:szCs w:val="20"/>
        </w:rPr>
      </w:pPr>
    </w:p>
    <w:p w14:paraId="33E6B3DD" w14:textId="77777777" w:rsidR="00A4642B" w:rsidRPr="002610C4" w:rsidRDefault="00A4642B" w:rsidP="00A4642B">
      <w:pPr>
        <w:pStyle w:val="textecourant"/>
        <w:tabs>
          <w:tab w:val="left" w:pos="283"/>
        </w:tabs>
        <w:spacing w:before="57"/>
        <w:rPr>
          <w:sz w:val="20"/>
          <w:szCs w:val="20"/>
        </w:rPr>
      </w:pP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52093FA9"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6B252088"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5D17FA24" w:rsidR="00835CFA" w:rsidRPr="002610C4" w:rsidRDefault="009D2780">
      <w:pPr>
        <w:rPr>
          <w:rFonts w:cs="Arial"/>
          <w:i/>
          <w:color w:val="4DA0AD" w:themeColor="accent3" w:themeShade="BF"/>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0D084572">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77777777" w:rsidR="00FC1E18" w:rsidRPr="00E643CA" w:rsidRDefault="00FC1E18" w:rsidP="00A4642B">
                            <w:pPr>
                              <w:rPr>
                                <w:rFonts w:cs="Arial"/>
                                <w:szCs w:val="20"/>
                              </w:rPr>
                            </w:pPr>
                            <w:r w:rsidRPr="00E643CA">
                              <w:rPr>
                                <w:rFonts w:cs="Arial"/>
                                <w:szCs w:val="20"/>
                              </w:rPr>
                              <w:t xml:space="preserve">Visa de la Préfecture :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77777777" w:rsidR="00FC1E18" w:rsidRPr="00E643CA" w:rsidRDefault="00FC1E18"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FC1E18" w:rsidRDefault="00FC1E18"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" stroked="f">
                <v:textbox>
                  <w:txbxContent>
                    <w:p w14:paraId="25875969" w14:textId="77777777" w:rsidR="00FC1E18" w:rsidRPr="00E643CA" w:rsidRDefault="00FC1E18" w:rsidP="00A4642B">
                      <w:pPr>
                        <w:rPr>
                          <w:rFonts w:cs="Arial"/>
                          <w:szCs w:val="20"/>
                        </w:rPr>
                      </w:pPr>
                      <w:r w:rsidRPr="00E643CA">
                        <w:rPr>
                          <w:rFonts w:cs="Arial"/>
                          <w:szCs w:val="20"/>
                        </w:rPr>
                        <w:t xml:space="preserve">Visa de la Préfecture :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77777777" w:rsidR="00FC1E18" w:rsidRPr="00E643CA" w:rsidRDefault="00FC1E18"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FC1E18" w:rsidRDefault="00FC1E18" w:rsidP="00A4642B"/>
                  </w:txbxContent>
                </v:textbox>
              </v:shape>
            </w:pict>
          </mc:Fallback>
        </mc:AlternateContent>
      </w: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B66C6"/>
    <w:rsid w:val="002C1587"/>
    <w:rsid w:val="002C7330"/>
    <w:rsid w:val="002D06C8"/>
    <w:rsid w:val="002D7670"/>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28F3"/>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065"/>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3B6F"/>
    <w:rsid w:val="00C063FA"/>
    <w:rsid w:val="00C113D4"/>
    <w:rsid w:val="00C13B17"/>
    <w:rsid w:val="00C2477B"/>
    <w:rsid w:val="00C36D0F"/>
    <w:rsid w:val="00C40576"/>
    <w:rsid w:val="00C43EC7"/>
    <w:rsid w:val="00C6207F"/>
    <w:rsid w:val="00C70044"/>
    <w:rsid w:val="00C96062"/>
    <w:rsid w:val="00C97CCA"/>
    <w:rsid w:val="00CA593C"/>
    <w:rsid w:val="00CB7C25"/>
    <w:rsid w:val="00CC0413"/>
    <w:rsid w:val="00CE2B0C"/>
    <w:rsid w:val="00CE4B64"/>
    <w:rsid w:val="00D201C4"/>
    <w:rsid w:val="00D5570A"/>
    <w:rsid w:val="00D63391"/>
    <w:rsid w:val="00D6654C"/>
    <w:rsid w:val="00D67514"/>
    <w:rsid w:val="00D77178"/>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24FCF"/>
    <w:rsid w:val="00E50685"/>
    <w:rsid w:val="00E55A38"/>
    <w:rsid w:val="00E643CA"/>
    <w:rsid w:val="00E662BE"/>
    <w:rsid w:val="00E72091"/>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8FAC3CE1-44AF-4FCA-AE4C-FE0B367F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7C26-AF15-449A-B91D-5CDAA887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581</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7</cp:revision>
  <cp:lastPrinted>2020-03-10T16:34:00Z</cp:lastPrinted>
  <dcterms:created xsi:type="dcterms:W3CDTF">2020-12-07T15:25:00Z</dcterms:created>
  <dcterms:modified xsi:type="dcterms:W3CDTF">2022-02-28T15:28:00Z</dcterms:modified>
</cp:coreProperties>
</file>