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626F0446" w:rsidR="00585071" w:rsidRPr="00747422" w:rsidRDefault="00747422" w:rsidP="00585071">
      <w:pPr>
        <w:jc w:val="center"/>
        <w:rPr>
          <w:rFonts w:cs="Arial"/>
          <w:sz w:val="18"/>
          <w:szCs w:val="18"/>
        </w:rPr>
      </w:pPr>
      <w:r>
        <w:rPr>
          <w:rFonts w:cs="Arial"/>
          <w:sz w:val="18"/>
          <w:szCs w:val="18"/>
        </w:rPr>
        <w:t>Modèle à adapter</w:t>
      </w:r>
      <w:r w:rsidR="00701065">
        <w:rPr>
          <w:rFonts w:cs="Arial"/>
          <w:sz w:val="18"/>
          <w:szCs w:val="18"/>
        </w:rPr>
        <w:t xml:space="preserve"> n° 09-F-MOD</w:t>
      </w:r>
      <w:r w:rsidR="00C93304">
        <w:rPr>
          <w:rFonts w:cs="Arial"/>
          <w:sz w:val="18"/>
          <w:szCs w:val="18"/>
        </w:rPr>
        <w:t>1</w:t>
      </w:r>
      <w:r w:rsidR="00537CA8">
        <w:rPr>
          <w:rFonts w:cs="Arial"/>
          <w:sz w:val="18"/>
          <w:szCs w:val="18"/>
        </w:rPr>
        <w:t>8</w:t>
      </w:r>
      <w:r w:rsidR="005870A9" w:rsidRPr="00747422">
        <w:rPr>
          <w:rFonts w:cs="Arial"/>
          <w:sz w:val="18"/>
          <w:szCs w:val="18"/>
        </w:rPr>
        <w:t xml:space="preserve"> - </w:t>
      </w:r>
      <w:r w:rsidR="00585071" w:rsidRPr="00747422">
        <w:rPr>
          <w:rFonts w:cs="Arial"/>
          <w:sz w:val="18"/>
          <w:szCs w:val="18"/>
        </w:rPr>
        <w:t xml:space="preserve">CDG 53 </w:t>
      </w:r>
      <w:r w:rsidR="00EF17ED">
        <w:rPr>
          <w:rFonts w:cs="Arial"/>
          <w:sz w:val="18"/>
          <w:szCs w:val="18"/>
        </w:rPr>
        <w:t>(mars 2022)</w:t>
      </w:r>
      <w:bookmarkStart w:id="0" w:name="_GoBack"/>
      <w:bookmarkEnd w:id="0"/>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4C8D2598" w:rsidR="00585071" w:rsidRPr="00747422" w:rsidRDefault="00537CA8"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Portant attribution de l’indemnité pour travaux dangereux, insalubres, incommodes ou salissants</w:t>
      </w:r>
    </w:p>
    <w:p w14:paraId="35EEB1C6" w14:textId="77777777" w:rsidR="00B741A8" w:rsidRPr="00737F7D" w:rsidRDefault="00B741A8" w:rsidP="00B741A8">
      <w:pPr>
        <w:rPr>
          <w:rFonts w:cs="Arial"/>
        </w:rPr>
      </w:pPr>
    </w:p>
    <w:p w14:paraId="672BFB5C" w14:textId="67487025" w:rsidR="00E643CA" w:rsidRPr="00737F7D" w:rsidRDefault="00EF17ED" w:rsidP="00B741A8">
      <w:pPr>
        <w:rPr>
          <w:rFonts w:cs="Arial"/>
        </w:rPr>
      </w:pPr>
      <w:r>
        <w:rPr>
          <w:rFonts w:cs="Arial"/>
          <w:noProof/>
        </w:rPr>
        <w:drawing>
          <wp:anchor distT="0" distB="0" distL="114300" distR="114300" simplePos="0" relativeHeight="251658240" behindDoc="0" locked="0" layoutInCell="1" allowOverlap="1" wp14:anchorId="53B90283" wp14:editId="19397C7A">
            <wp:simplePos x="0" y="0"/>
            <wp:positionH relativeFrom="column">
              <wp:posOffset>5642610</wp:posOffset>
            </wp:positionH>
            <wp:positionV relativeFrom="paragraph">
              <wp:posOffset>96520</wp:posOffset>
            </wp:positionV>
            <wp:extent cx="1149199" cy="1080000"/>
            <wp:effectExtent l="0" t="38100" r="13335" b="63500"/>
            <wp:wrapThrough wrapText="bothSides">
              <wp:wrapPolygon edited="0">
                <wp:start x="2699" y="2933"/>
                <wp:lineTo x="-3719" y="9622"/>
                <wp:lineTo x="4999" y="20746"/>
                <wp:lineTo x="9494" y="21721"/>
                <wp:lineTo x="9723" y="22013"/>
                <wp:lineTo x="15685" y="20693"/>
                <wp:lineTo x="16419" y="21035"/>
                <wp:lineTo x="18620" y="19082"/>
                <wp:lineTo x="18436" y="18252"/>
                <wp:lineTo x="21873" y="10735"/>
                <wp:lineTo x="20082" y="4879"/>
                <wp:lineTo x="19853" y="4586"/>
                <wp:lineTo x="15586" y="927"/>
                <wp:lineTo x="14714" y="-780"/>
                <wp:lineTo x="7560" y="-387"/>
                <wp:lineTo x="5450" y="492"/>
                <wp:lineTo x="2699" y="2933"/>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fp(1).png"/>
                    <pic:cNvPicPr/>
                  </pic:nvPicPr>
                  <pic:blipFill>
                    <a:blip r:embed="rId6" cstate="print">
                      <a:extLst>
                        <a:ext uri="{28A0092B-C50C-407E-A947-70E740481C1C}">
                          <a14:useLocalDpi xmlns:a14="http://schemas.microsoft.com/office/drawing/2010/main" val="0"/>
                        </a:ext>
                      </a:extLst>
                    </a:blip>
                    <a:stretch>
                      <a:fillRect/>
                    </a:stretch>
                  </pic:blipFill>
                  <pic:spPr>
                    <a:xfrm rot="2389589">
                      <a:off x="0" y="0"/>
                      <a:ext cx="1149199" cy="1080000"/>
                    </a:xfrm>
                    <a:prstGeom prst="rect">
                      <a:avLst/>
                    </a:prstGeom>
                  </pic:spPr>
                </pic:pic>
              </a:graphicData>
            </a:graphic>
          </wp:anchor>
        </w:drawing>
      </w:r>
    </w:p>
    <w:p w14:paraId="1D56ECA3" w14:textId="745E78AD"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conseil municipal </w:t>
      </w:r>
      <w:r w:rsidRPr="00AC040C">
        <w:rPr>
          <w:rFonts w:cs="Arial"/>
          <w:i/>
          <w:color w:val="86C0C9" w:themeColor="accent3"/>
          <w:sz w:val="18"/>
          <w:szCs w:val="18"/>
        </w:rPr>
        <w:t>(le conseil d’administration)</w:t>
      </w:r>
    </w:p>
    <w:p w14:paraId="69240468" w14:textId="77777777" w:rsidR="008B4856" w:rsidRPr="00737F7D" w:rsidRDefault="008B4856" w:rsidP="008B4856">
      <w:pPr>
        <w:pStyle w:val="textecourant"/>
        <w:tabs>
          <w:tab w:val="left" w:pos="283"/>
        </w:tabs>
        <w:spacing w:before="57"/>
        <w:rPr>
          <w:i/>
        </w:rPr>
      </w:pPr>
    </w:p>
    <w:p w14:paraId="5A2BD322" w14:textId="77777777" w:rsidR="00C93304" w:rsidRPr="00C93304" w:rsidRDefault="00C93304" w:rsidP="00C93304">
      <w:pPr>
        <w:rPr>
          <w:rFonts w:cs="Arial"/>
          <w:bCs/>
          <w:i/>
          <w:color w:val="000000"/>
          <w:sz w:val="18"/>
          <w:szCs w:val="20"/>
        </w:rPr>
      </w:pPr>
      <w:r w:rsidRPr="00C93304">
        <w:rPr>
          <w:rFonts w:cs="Arial"/>
          <w:bCs/>
          <w:i/>
          <w:color w:val="000000"/>
          <w:sz w:val="18"/>
          <w:szCs w:val="20"/>
        </w:rPr>
        <w:t xml:space="preserve">Sur rapport de Monsieur le Maire, </w:t>
      </w:r>
      <w:r w:rsidRPr="00C93304">
        <w:rPr>
          <w:rFonts w:cs="Arial"/>
          <w:bCs/>
          <w:i/>
          <w:color w:val="86C0C9" w:themeColor="accent3"/>
          <w:sz w:val="18"/>
          <w:szCs w:val="20"/>
        </w:rPr>
        <w:t>(le Président)</w:t>
      </w:r>
    </w:p>
    <w:p w14:paraId="5E4FA2EE" w14:textId="77777777" w:rsidR="00C93304" w:rsidRPr="00C93304" w:rsidRDefault="00C93304" w:rsidP="00C93304">
      <w:pPr>
        <w:rPr>
          <w:rFonts w:cs="Arial"/>
          <w:i/>
          <w:color w:val="000000"/>
          <w:sz w:val="18"/>
          <w:szCs w:val="20"/>
        </w:rPr>
      </w:pPr>
    </w:p>
    <w:p w14:paraId="1DE7F087" w14:textId="6A58066C" w:rsidR="00537CA8" w:rsidRPr="00EF17ED" w:rsidRDefault="00537CA8" w:rsidP="00537CA8">
      <w:pPr>
        <w:rPr>
          <w:rFonts w:cs="Arial"/>
          <w:b/>
          <w:i/>
          <w:color w:val="92D050"/>
          <w:sz w:val="18"/>
          <w:szCs w:val="20"/>
        </w:rPr>
      </w:pPr>
      <w:r w:rsidRPr="00EF17ED">
        <w:rPr>
          <w:rFonts w:cs="Arial"/>
          <w:b/>
          <w:i/>
          <w:color w:val="92D050"/>
          <w:sz w:val="18"/>
          <w:szCs w:val="20"/>
        </w:rPr>
        <w:t xml:space="preserve">Vu </w:t>
      </w:r>
      <w:r w:rsidR="009C7509" w:rsidRPr="00EF17ED">
        <w:rPr>
          <w:rFonts w:cs="Arial"/>
          <w:b/>
          <w:i/>
          <w:color w:val="92D050"/>
          <w:sz w:val="18"/>
          <w:szCs w:val="20"/>
        </w:rPr>
        <w:t>le code général de la fonction publique et notamment ses articles L712-1, L714-4 et L714-5</w:t>
      </w:r>
      <w:r w:rsidR="00C72EA0" w:rsidRPr="00EF17ED">
        <w:rPr>
          <w:rFonts w:cs="Arial"/>
          <w:b/>
          <w:i/>
          <w:color w:val="92D050"/>
          <w:sz w:val="18"/>
          <w:szCs w:val="20"/>
        </w:rPr>
        <w:t xml:space="preserve">. </w:t>
      </w:r>
    </w:p>
    <w:p w14:paraId="660325B6" w14:textId="77777777" w:rsidR="00537CA8" w:rsidRPr="00537CA8" w:rsidRDefault="00537CA8" w:rsidP="00537CA8">
      <w:pPr>
        <w:rPr>
          <w:rFonts w:cs="Arial"/>
          <w:i/>
          <w:color w:val="000000"/>
          <w:sz w:val="18"/>
          <w:szCs w:val="20"/>
        </w:rPr>
      </w:pPr>
      <w:r w:rsidRPr="00537CA8">
        <w:rPr>
          <w:rFonts w:cs="Arial"/>
          <w:i/>
          <w:color w:val="000000"/>
          <w:sz w:val="18"/>
          <w:szCs w:val="20"/>
        </w:rPr>
        <w:t>Vu le décret n° 91-875 du 6 septembre 1991 modifié relatif au régime indemnitaire des agents de la fonction publique territoriale,</w:t>
      </w:r>
    </w:p>
    <w:p w14:paraId="21CA9993" w14:textId="77777777" w:rsidR="00537CA8" w:rsidRPr="00537CA8" w:rsidRDefault="00537CA8" w:rsidP="00537CA8">
      <w:pPr>
        <w:rPr>
          <w:rFonts w:cs="Arial"/>
          <w:i/>
          <w:color w:val="000000"/>
          <w:sz w:val="18"/>
          <w:szCs w:val="20"/>
        </w:rPr>
      </w:pPr>
      <w:r w:rsidRPr="00537CA8">
        <w:rPr>
          <w:rFonts w:cs="Arial"/>
          <w:i/>
          <w:color w:val="000000"/>
          <w:sz w:val="18"/>
          <w:szCs w:val="20"/>
        </w:rPr>
        <w:t>Vu le décret n° 67-624 du 23 juillet 1967 fixant les modalités d’attributions et les taux des indemnités pour travaux dangereux, insalubres, incommodes ou salissants,</w:t>
      </w:r>
    </w:p>
    <w:p w14:paraId="747269CD" w14:textId="77777777" w:rsidR="00537CA8" w:rsidRPr="00537CA8" w:rsidRDefault="00537CA8" w:rsidP="00537CA8">
      <w:pPr>
        <w:rPr>
          <w:rFonts w:cs="Arial"/>
          <w:i/>
          <w:color w:val="000000"/>
          <w:sz w:val="18"/>
          <w:szCs w:val="20"/>
        </w:rPr>
      </w:pPr>
      <w:r w:rsidRPr="00537CA8">
        <w:rPr>
          <w:rFonts w:cs="Arial"/>
          <w:i/>
          <w:color w:val="000000"/>
          <w:sz w:val="18"/>
          <w:szCs w:val="20"/>
        </w:rPr>
        <w:t>Vu l’arrêté du 30 août 2001 fixant les taux de base des indemnités pour travaux dangereux, insalubres, incommodes ou salissants,</w:t>
      </w:r>
    </w:p>
    <w:p w14:paraId="6451CFA9" w14:textId="77777777" w:rsidR="00537CA8" w:rsidRPr="00537CA8" w:rsidRDefault="00537CA8" w:rsidP="00537CA8">
      <w:pPr>
        <w:rPr>
          <w:rFonts w:cs="Arial"/>
          <w:i/>
          <w:color w:val="000000"/>
          <w:sz w:val="18"/>
          <w:szCs w:val="20"/>
        </w:rPr>
      </w:pPr>
    </w:p>
    <w:p w14:paraId="31987FB4" w14:textId="77777777" w:rsidR="00537CA8" w:rsidRPr="00537CA8" w:rsidRDefault="00537CA8" w:rsidP="00537CA8">
      <w:pPr>
        <w:rPr>
          <w:rFonts w:cs="Arial"/>
          <w:i/>
          <w:color w:val="000000"/>
          <w:sz w:val="18"/>
          <w:szCs w:val="20"/>
        </w:rPr>
      </w:pPr>
      <w:r w:rsidRPr="00537CA8">
        <w:rPr>
          <w:rFonts w:cs="Arial"/>
          <w:i/>
          <w:color w:val="000000"/>
          <w:sz w:val="18"/>
          <w:szCs w:val="20"/>
        </w:rPr>
        <w:t xml:space="preserve">Considérant que certains agents effectuent des tâches de ________________________ </w:t>
      </w:r>
      <w:r w:rsidRPr="00537CA8">
        <w:rPr>
          <w:rFonts w:cs="Arial"/>
          <w:i/>
          <w:color w:val="86C0C9" w:themeColor="accent3"/>
          <w:sz w:val="18"/>
          <w:szCs w:val="20"/>
        </w:rPr>
        <w:t>(indiquer les tâches),</w:t>
      </w:r>
    </w:p>
    <w:p w14:paraId="135FE88C" w14:textId="77777777" w:rsidR="00C93304" w:rsidRPr="00C93304" w:rsidRDefault="00C93304" w:rsidP="00C93304">
      <w:pPr>
        <w:rPr>
          <w:rFonts w:cs="Arial"/>
          <w:i/>
          <w:color w:val="000000"/>
          <w:sz w:val="18"/>
          <w:szCs w:val="20"/>
        </w:rPr>
      </w:pPr>
    </w:p>
    <w:p w14:paraId="61690445" w14:textId="77777777" w:rsidR="00C93304" w:rsidRPr="00C93304" w:rsidRDefault="00C93304" w:rsidP="00C93304">
      <w:pPr>
        <w:rPr>
          <w:rFonts w:cs="Arial"/>
          <w:i/>
          <w:color w:val="000000"/>
          <w:sz w:val="18"/>
          <w:szCs w:val="20"/>
        </w:rPr>
      </w:pPr>
      <w:r w:rsidRPr="00C93304">
        <w:rPr>
          <w:rFonts w:cs="Arial"/>
          <w:i/>
          <w:color w:val="000000"/>
          <w:sz w:val="18"/>
          <w:szCs w:val="20"/>
        </w:rPr>
        <w:t>Après en avoir délibéré,</w:t>
      </w:r>
    </w:p>
    <w:p w14:paraId="2E102210" w14:textId="77777777" w:rsidR="002D7670" w:rsidRDefault="002D7670" w:rsidP="00565D14"/>
    <w:p w14:paraId="50B41BEE" w14:textId="77777777" w:rsidR="00DA4149" w:rsidRPr="002D7670" w:rsidRDefault="00DA4149" w:rsidP="00565D14"/>
    <w:p w14:paraId="3BF794C8" w14:textId="77777777" w:rsidR="002D7670" w:rsidRPr="002D7670" w:rsidRDefault="002D7670" w:rsidP="00565D14">
      <w:pPr>
        <w:rPr>
          <w:b/>
          <w:bCs/>
        </w:rPr>
      </w:pPr>
      <w:r w:rsidRPr="002D7670">
        <w:rPr>
          <w:b/>
          <w:bCs/>
          <w:u w:val="single"/>
        </w:rPr>
        <w:t>décide</w:t>
      </w:r>
      <w:r w:rsidRPr="002D7670">
        <w:rPr>
          <w:b/>
          <w:bCs/>
        </w:rPr>
        <w:t xml:space="preserve"> :</w:t>
      </w:r>
    </w:p>
    <w:p w14:paraId="241395BF" w14:textId="77777777" w:rsidR="002D7670" w:rsidRPr="002D7670" w:rsidRDefault="002D7670" w:rsidP="00565D14"/>
    <w:p w14:paraId="78AF4909" w14:textId="77777777" w:rsidR="00537CA8" w:rsidRPr="00537CA8" w:rsidRDefault="00537CA8" w:rsidP="00537CA8"/>
    <w:p w14:paraId="7791E77F" w14:textId="77777777" w:rsidR="00537CA8" w:rsidRPr="00537CA8" w:rsidRDefault="00537CA8" w:rsidP="00537CA8">
      <w:pPr>
        <w:rPr>
          <w:b/>
          <w:bCs/>
        </w:rPr>
      </w:pPr>
      <w:r w:rsidRPr="00537CA8">
        <w:rPr>
          <w:b/>
          <w:bCs/>
          <w:u w:val="single"/>
        </w:rPr>
        <w:t>Article 1</w:t>
      </w:r>
      <w:r w:rsidRPr="00537CA8">
        <w:rPr>
          <w:b/>
          <w:bCs/>
        </w:rPr>
        <w:t xml:space="preserve"> : Objet</w:t>
      </w:r>
    </w:p>
    <w:p w14:paraId="336AFA15" w14:textId="77777777" w:rsidR="00537CA8" w:rsidRPr="00537CA8" w:rsidRDefault="00537CA8" w:rsidP="00537CA8">
      <w:r w:rsidRPr="00537CA8">
        <w:t xml:space="preserve">Il est institué une indemnité pour travaux dangereux, insalubres, incommodes ou salissants au profit du personnel. L’indemnité peut être versée aux agents à l’occasion de travaux comportant certains risques d’accidents ou d’incommodités, malgré les précautions prises et les mesures de protection adoptées. </w:t>
      </w:r>
    </w:p>
    <w:p w14:paraId="2A08D6B7" w14:textId="77777777" w:rsidR="00537CA8" w:rsidRPr="00537CA8" w:rsidRDefault="00537CA8" w:rsidP="00537CA8">
      <w:r w:rsidRPr="00537CA8">
        <w:t xml:space="preserve">Les travaux de _________________ </w:t>
      </w:r>
      <w:r w:rsidRPr="00537CA8">
        <w:rPr>
          <w:i/>
          <w:color w:val="86C0C9" w:themeColor="accent3"/>
        </w:rPr>
        <w:t>(préciser la nature des travaux)</w:t>
      </w:r>
      <w:r w:rsidRPr="00537CA8">
        <w:rPr>
          <w:color w:val="86C0C9" w:themeColor="accent3"/>
        </w:rPr>
        <w:t xml:space="preserve"> </w:t>
      </w:r>
      <w:r w:rsidRPr="00537CA8">
        <w:t xml:space="preserve">correspondent à ___________________________ </w:t>
      </w:r>
      <w:r w:rsidRPr="00537CA8">
        <w:rPr>
          <w:i/>
          <w:color w:val="86C0C9" w:themeColor="accent3"/>
        </w:rPr>
        <w:t xml:space="preserve">(reprendre la dénomination exacte dans le tableau ci-joint) </w:t>
      </w:r>
      <w:r w:rsidRPr="00537CA8">
        <w:t>et font l’objet de la catégorie_______</w:t>
      </w:r>
      <w:r w:rsidRPr="00537CA8">
        <w:rPr>
          <w:color w:val="86C0C9" w:themeColor="accent3"/>
        </w:rPr>
        <w:t xml:space="preserve"> (</w:t>
      </w:r>
      <w:r w:rsidRPr="00537CA8">
        <w:rPr>
          <w:i/>
          <w:color w:val="86C0C9" w:themeColor="accent3"/>
        </w:rPr>
        <w:t xml:space="preserve">indiquer la catégorie, </w:t>
      </w:r>
      <w:proofErr w:type="spellStart"/>
      <w:r w:rsidRPr="00537CA8">
        <w:rPr>
          <w:i/>
          <w:color w:val="86C0C9" w:themeColor="accent3"/>
        </w:rPr>
        <w:t>cf</w:t>
      </w:r>
      <w:proofErr w:type="spellEnd"/>
      <w:r w:rsidRPr="00537CA8">
        <w:rPr>
          <w:i/>
          <w:color w:val="86C0C9" w:themeColor="accent3"/>
        </w:rPr>
        <w:t xml:space="preserve"> tableau joint)</w:t>
      </w:r>
      <w:r w:rsidRPr="00537CA8">
        <w:rPr>
          <w:color w:val="86C0C9" w:themeColor="accent3"/>
        </w:rPr>
        <w:t>)</w:t>
      </w:r>
    </w:p>
    <w:p w14:paraId="3021F137" w14:textId="77777777" w:rsidR="00537CA8" w:rsidRPr="00537CA8" w:rsidRDefault="00537CA8" w:rsidP="00537CA8">
      <w:pPr>
        <w:rPr>
          <w:i/>
        </w:rPr>
      </w:pPr>
      <w:r w:rsidRPr="00537CA8">
        <w:tab/>
      </w:r>
      <w:r w:rsidRPr="00537CA8">
        <w:tab/>
      </w:r>
      <w:r w:rsidRPr="00537CA8">
        <w:rPr>
          <w:i/>
        </w:rPr>
        <w:t>Catégorie 1 : risques de lésion organique ou d’accident corporel.</w:t>
      </w:r>
    </w:p>
    <w:p w14:paraId="212F9071" w14:textId="77777777" w:rsidR="00537CA8" w:rsidRPr="00537CA8" w:rsidRDefault="00537CA8" w:rsidP="00537CA8">
      <w:pPr>
        <w:rPr>
          <w:i/>
        </w:rPr>
      </w:pPr>
      <w:r w:rsidRPr="00537CA8">
        <w:rPr>
          <w:i/>
        </w:rPr>
        <w:tab/>
      </w:r>
      <w:r w:rsidRPr="00537CA8">
        <w:rPr>
          <w:i/>
        </w:rPr>
        <w:tab/>
        <w:t>Catégorie 2 : risques d’intoxication ou de contamination</w:t>
      </w:r>
    </w:p>
    <w:p w14:paraId="38C50123" w14:textId="77777777" w:rsidR="00537CA8" w:rsidRPr="00537CA8" w:rsidRDefault="00537CA8" w:rsidP="00537CA8">
      <w:pPr>
        <w:rPr>
          <w:i/>
        </w:rPr>
      </w:pPr>
      <w:r w:rsidRPr="00537CA8">
        <w:rPr>
          <w:i/>
        </w:rPr>
        <w:tab/>
      </w:r>
      <w:r w:rsidRPr="00537CA8">
        <w:rPr>
          <w:i/>
        </w:rPr>
        <w:tab/>
        <w:t xml:space="preserve">Catégorie 3 : les travaux incommodes ou salissants </w:t>
      </w:r>
    </w:p>
    <w:p w14:paraId="78C97D7E" w14:textId="77777777" w:rsidR="00537CA8" w:rsidRPr="00537CA8" w:rsidRDefault="00537CA8" w:rsidP="00537CA8"/>
    <w:p w14:paraId="64E04C8C" w14:textId="77777777" w:rsidR="00537CA8" w:rsidRPr="00537CA8" w:rsidRDefault="00537CA8" w:rsidP="00537CA8"/>
    <w:p w14:paraId="0BE587C8" w14:textId="77777777" w:rsidR="00537CA8" w:rsidRPr="00537CA8" w:rsidRDefault="00537CA8" w:rsidP="00537CA8">
      <w:r w:rsidRPr="00537CA8">
        <w:rPr>
          <w:b/>
          <w:bCs/>
          <w:u w:val="single"/>
        </w:rPr>
        <w:t>Article 2</w:t>
      </w:r>
      <w:r w:rsidRPr="00537CA8">
        <w:rPr>
          <w:b/>
          <w:bCs/>
        </w:rPr>
        <w:t xml:space="preserve"> : Bénéficiaires</w:t>
      </w:r>
    </w:p>
    <w:p w14:paraId="7F96ACDD" w14:textId="77777777" w:rsidR="00537CA8" w:rsidRPr="00537CA8" w:rsidRDefault="00537CA8" w:rsidP="00537CA8">
      <w:pPr>
        <w:rPr>
          <w:color w:val="86C0C9" w:themeColor="accent3"/>
        </w:rPr>
      </w:pPr>
      <w:r w:rsidRPr="00537CA8">
        <w:t xml:space="preserve">Pourront bénéficier de cette indemnité, les agents ______________ </w:t>
      </w:r>
      <w:r w:rsidRPr="00537CA8">
        <w:rPr>
          <w:i/>
          <w:color w:val="86C0C9" w:themeColor="accent3"/>
        </w:rPr>
        <w:t>(titulaires, stagiaires, non titulaires</w:t>
      </w:r>
      <w:r w:rsidRPr="00537CA8">
        <w:rPr>
          <w:i/>
        </w:rPr>
        <w:t>)</w:t>
      </w:r>
      <w:r w:rsidRPr="00537CA8">
        <w:t xml:space="preserve">. </w:t>
      </w:r>
      <w:r w:rsidRPr="00537CA8">
        <w:rPr>
          <w:i/>
          <w:color w:val="86C0C9" w:themeColor="accent3"/>
        </w:rPr>
        <w:t>(Préciser éventuellement les fonctions ou le libellé de la fiche de poste).</w:t>
      </w:r>
    </w:p>
    <w:p w14:paraId="527296BE" w14:textId="77777777" w:rsidR="00537CA8" w:rsidRPr="00537CA8" w:rsidRDefault="00537CA8" w:rsidP="00537CA8"/>
    <w:p w14:paraId="110DC5A0" w14:textId="77777777" w:rsidR="00537CA8" w:rsidRPr="00537CA8" w:rsidRDefault="00537CA8" w:rsidP="00537CA8"/>
    <w:p w14:paraId="5863535B" w14:textId="77777777" w:rsidR="00537CA8" w:rsidRPr="00537CA8" w:rsidRDefault="00537CA8" w:rsidP="00537CA8">
      <w:r w:rsidRPr="00537CA8">
        <w:rPr>
          <w:b/>
          <w:bCs/>
          <w:u w:val="single"/>
        </w:rPr>
        <w:t>Article 3</w:t>
      </w:r>
      <w:r w:rsidRPr="00537CA8">
        <w:t xml:space="preserve"> : </w:t>
      </w:r>
      <w:r w:rsidRPr="00537CA8">
        <w:rPr>
          <w:b/>
          <w:bCs/>
        </w:rPr>
        <w:t>Taux</w:t>
      </w:r>
    </w:p>
    <w:p w14:paraId="7581A7CA" w14:textId="77777777" w:rsidR="00537CA8" w:rsidRPr="00537CA8" w:rsidRDefault="00537CA8" w:rsidP="00537CA8">
      <w:r w:rsidRPr="00537CA8">
        <w:t>Les taux sont ceux de l'arrêté ministériel du 30 août 2001 fixant les taux de base des indemnités pour travaux dangereux, insalubres, incommodes ou salissants. Le montant de l’indemnité est calculé par référence à un taux de base affecté d’un coefficient de pondération variant selon la nature des travaux et leur classification. Le montant est fixé pour une ½ journée de travail effectif.</w:t>
      </w:r>
    </w:p>
    <w:p w14:paraId="0A0EF981" w14:textId="77777777" w:rsidR="00537CA8" w:rsidRPr="00537CA8" w:rsidRDefault="00537CA8" w:rsidP="00537CA8">
      <w:r w:rsidRPr="00537CA8">
        <w:t>Le taux de base pour la catégorie 1 est de 1,03 €, pour la catégorie 2 : 0,31 € et pour la catégorie 3 : 0,15 €</w:t>
      </w:r>
    </w:p>
    <w:p w14:paraId="7B868CEC" w14:textId="77777777" w:rsidR="00537CA8" w:rsidRPr="00537CA8" w:rsidRDefault="00537CA8" w:rsidP="00537CA8"/>
    <w:p w14:paraId="73D92960" w14:textId="77777777" w:rsidR="00537CA8" w:rsidRPr="00537CA8" w:rsidRDefault="00537CA8" w:rsidP="00537CA8">
      <w:r w:rsidRPr="00537CA8">
        <w:t xml:space="preserve">Les travaux ___________________ </w:t>
      </w:r>
      <w:r w:rsidRPr="00537CA8">
        <w:rPr>
          <w:i/>
          <w:color w:val="86C0C9" w:themeColor="accent3"/>
        </w:rPr>
        <w:t>(reprendre la dénomination exacte dans le tableau joint)</w:t>
      </w:r>
      <w:r w:rsidRPr="00537CA8">
        <w:t xml:space="preserve"> sont affectés d’un montant de base de _____________€ multiplié de ____________________base </w:t>
      </w:r>
      <w:r w:rsidRPr="00537CA8">
        <w:rPr>
          <w:i/>
          <w:color w:val="86C0C9" w:themeColor="accent3"/>
        </w:rPr>
        <w:t>(nombre de taux de base)</w:t>
      </w:r>
      <w:r w:rsidRPr="00537CA8">
        <w:rPr>
          <w:color w:val="86C0C9" w:themeColor="accent3"/>
        </w:rPr>
        <w:t xml:space="preserve"> </w:t>
      </w:r>
      <w:r w:rsidRPr="00537CA8">
        <w:t xml:space="preserve">soit un montant total de _____________€ par ½ journée. </w:t>
      </w:r>
      <w:r w:rsidRPr="00537CA8">
        <w:rPr>
          <w:i/>
          <w:color w:val="86C0C9" w:themeColor="accent3"/>
        </w:rPr>
        <w:t>(voir l’annexe jointe)</w:t>
      </w:r>
    </w:p>
    <w:p w14:paraId="6D153A96" w14:textId="77777777" w:rsidR="00537CA8" w:rsidRPr="00537CA8" w:rsidRDefault="00537CA8" w:rsidP="00537CA8"/>
    <w:p w14:paraId="6275904A" w14:textId="77777777" w:rsidR="00537CA8" w:rsidRPr="00537CA8" w:rsidRDefault="00537CA8" w:rsidP="00537CA8"/>
    <w:p w14:paraId="532D5434" w14:textId="77777777" w:rsidR="00537CA8" w:rsidRPr="00537CA8" w:rsidRDefault="00537CA8" w:rsidP="00537CA8">
      <w:r w:rsidRPr="00537CA8">
        <w:rPr>
          <w:b/>
          <w:bCs/>
          <w:u w:val="single"/>
        </w:rPr>
        <w:t>Article 4</w:t>
      </w:r>
      <w:r w:rsidRPr="00537CA8">
        <w:rPr>
          <w:b/>
          <w:bCs/>
        </w:rPr>
        <w:t xml:space="preserve"> : Revalorisation</w:t>
      </w:r>
    </w:p>
    <w:p w14:paraId="0D042942" w14:textId="77777777" w:rsidR="00537CA8" w:rsidRPr="00537CA8" w:rsidRDefault="00537CA8" w:rsidP="00537CA8">
      <w:r w:rsidRPr="00537CA8">
        <w:t>Les montants de référence seront revalorisés par arrêté ministériel.</w:t>
      </w:r>
    </w:p>
    <w:p w14:paraId="73AF7EB3" w14:textId="77777777" w:rsidR="00537CA8" w:rsidRPr="00537CA8" w:rsidRDefault="00537CA8" w:rsidP="00537CA8"/>
    <w:p w14:paraId="2E9C7BEF" w14:textId="77777777" w:rsidR="00537CA8" w:rsidRPr="00537CA8" w:rsidRDefault="00537CA8" w:rsidP="00537CA8"/>
    <w:p w14:paraId="444B50AC" w14:textId="77777777" w:rsidR="00537CA8" w:rsidRPr="00537CA8" w:rsidRDefault="00537CA8" w:rsidP="00537CA8">
      <w:r w:rsidRPr="00537CA8">
        <w:rPr>
          <w:b/>
          <w:bCs/>
          <w:u w:val="single"/>
        </w:rPr>
        <w:t xml:space="preserve">Article 5 </w:t>
      </w:r>
      <w:r w:rsidRPr="00537CA8">
        <w:t xml:space="preserve">: </w:t>
      </w:r>
      <w:r w:rsidRPr="00537CA8">
        <w:rPr>
          <w:b/>
          <w:bCs/>
        </w:rPr>
        <w:t>Crédits budgétaires</w:t>
      </w:r>
    </w:p>
    <w:p w14:paraId="1862AFF4" w14:textId="77777777" w:rsidR="00537CA8" w:rsidRPr="00537CA8" w:rsidRDefault="00537CA8" w:rsidP="00537CA8">
      <w:pPr>
        <w:rPr>
          <w:b/>
          <w:bCs/>
          <w:u w:val="single"/>
        </w:rPr>
      </w:pPr>
      <w:r w:rsidRPr="00537CA8">
        <w:t>Les crédits correspondants seront prévus et inscrits au budget.</w:t>
      </w:r>
    </w:p>
    <w:p w14:paraId="1D04D279" w14:textId="77777777" w:rsidR="00537CA8" w:rsidRPr="00537CA8" w:rsidRDefault="00537CA8" w:rsidP="00537CA8">
      <w:pPr>
        <w:rPr>
          <w:b/>
          <w:bCs/>
          <w:u w:val="single"/>
        </w:rPr>
      </w:pPr>
    </w:p>
    <w:p w14:paraId="5D0B3396" w14:textId="77777777" w:rsidR="00537CA8" w:rsidRPr="00537CA8" w:rsidRDefault="00537CA8" w:rsidP="00537CA8">
      <w:pPr>
        <w:rPr>
          <w:b/>
          <w:bCs/>
          <w:u w:val="single"/>
        </w:rPr>
      </w:pPr>
    </w:p>
    <w:p w14:paraId="11C6F436" w14:textId="77777777" w:rsidR="00537CA8" w:rsidRPr="00537CA8" w:rsidRDefault="00537CA8" w:rsidP="00537CA8">
      <w:r w:rsidRPr="00537CA8">
        <w:rPr>
          <w:b/>
          <w:bCs/>
          <w:u w:val="single"/>
        </w:rPr>
        <w:t>Article 6</w:t>
      </w:r>
      <w:r w:rsidRPr="00537CA8">
        <w:rPr>
          <w:b/>
          <w:bCs/>
        </w:rPr>
        <w:t xml:space="preserve"> :</w:t>
      </w:r>
      <w:r w:rsidRPr="00537CA8">
        <w:t xml:space="preserve"> </w:t>
      </w:r>
      <w:r w:rsidRPr="00537CA8">
        <w:rPr>
          <w:b/>
          <w:bCs/>
        </w:rPr>
        <w:t>Attributions individuelles</w:t>
      </w:r>
    </w:p>
    <w:p w14:paraId="1893729E" w14:textId="77777777" w:rsidR="00537CA8" w:rsidRPr="00537CA8" w:rsidRDefault="00537CA8" w:rsidP="00537CA8">
      <w:pPr>
        <w:rPr>
          <w:color w:val="86C0C9" w:themeColor="accent3"/>
        </w:rPr>
      </w:pPr>
      <w:r w:rsidRPr="00537CA8">
        <w:t>Il ne peut être alloué plus d’un taux de base par demi-journée de travail effectif, à l’exception des indemnités de 1</w:t>
      </w:r>
      <w:r w:rsidRPr="00537CA8">
        <w:rPr>
          <w:vertAlign w:val="superscript"/>
        </w:rPr>
        <w:t>ère</w:t>
      </w:r>
      <w:r w:rsidRPr="00537CA8">
        <w:t xml:space="preserve"> catégorie pour lesquelles il peut être alloué au maximum 2 taux de base par demi-journée de travail effectif</w:t>
      </w:r>
      <w:r w:rsidRPr="00537CA8">
        <w:rPr>
          <w:color w:val="86C0C9" w:themeColor="accent3"/>
        </w:rPr>
        <w:t xml:space="preserve">. </w:t>
      </w:r>
      <w:r w:rsidRPr="00537CA8">
        <w:rPr>
          <w:i/>
          <w:color w:val="86C0C9" w:themeColor="accent3"/>
        </w:rPr>
        <w:t>(</w:t>
      </w:r>
      <w:proofErr w:type="spellStart"/>
      <w:r w:rsidRPr="00537CA8">
        <w:rPr>
          <w:i/>
          <w:color w:val="86C0C9" w:themeColor="accent3"/>
        </w:rPr>
        <w:t>cf</w:t>
      </w:r>
      <w:proofErr w:type="spellEnd"/>
      <w:r w:rsidRPr="00537CA8">
        <w:rPr>
          <w:i/>
          <w:color w:val="86C0C9" w:themeColor="accent3"/>
        </w:rPr>
        <w:t xml:space="preserve"> tableau joint)</w:t>
      </w:r>
    </w:p>
    <w:p w14:paraId="6BA0D74F" w14:textId="1DF03D0F" w:rsidR="00537CA8" w:rsidRDefault="00537CA8" w:rsidP="00537CA8"/>
    <w:p w14:paraId="246339E7" w14:textId="77777777" w:rsidR="00537CA8" w:rsidRPr="00537CA8" w:rsidRDefault="00537CA8" w:rsidP="00537CA8"/>
    <w:p w14:paraId="1470EF95" w14:textId="77777777" w:rsidR="00537CA8" w:rsidRPr="00537CA8" w:rsidRDefault="00537CA8" w:rsidP="00537CA8"/>
    <w:p w14:paraId="4BA3E099" w14:textId="77777777" w:rsidR="00537CA8" w:rsidRPr="00537CA8" w:rsidRDefault="00537CA8" w:rsidP="00537CA8">
      <w:r w:rsidRPr="00537CA8">
        <w:rPr>
          <w:b/>
          <w:bCs/>
          <w:u w:val="single"/>
        </w:rPr>
        <w:t>Article 7</w:t>
      </w:r>
      <w:r w:rsidRPr="00537CA8">
        <w:t xml:space="preserve"> : </w:t>
      </w:r>
      <w:r w:rsidRPr="00537CA8">
        <w:rPr>
          <w:b/>
          <w:bCs/>
        </w:rPr>
        <w:t>Périodicité</w:t>
      </w:r>
    </w:p>
    <w:p w14:paraId="68EC33A2" w14:textId="77777777" w:rsidR="00537CA8" w:rsidRPr="00537CA8" w:rsidRDefault="00537CA8" w:rsidP="00537CA8">
      <w:r w:rsidRPr="00537CA8">
        <w:lastRenderedPageBreak/>
        <w:t>La périodicité du versement sera mensuelle.</w:t>
      </w:r>
    </w:p>
    <w:p w14:paraId="4885B6D3" w14:textId="77777777" w:rsidR="00537CA8" w:rsidRPr="00537CA8" w:rsidRDefault="00537CA8" w:rsidP="00537CA8"/>
    <w:p w14:paraId="4CC3A8D9" w14:textId="77777777" w:rsidR="00537CA8" w:rsidRPr="00537CA8" w:rsidRDefault="00537CA8" w:rsidP="00537CA8"/>
    <w:p w14:paraId="093171C4" w14:textId="77777777" w:rsidR="00537CA8" w:rsidRPr="00537CA8" w:rsidRDefault="00537CA8" w:rsidP="00537CA8">
      <w:r w:rsidRPr="00537CA8">
        <w:rPr>
          <w:b/>
          <w:bCs/>
          <w:u w:val="single"/>
        </w:rPr>
        <w:t>Article 8</w:t>
      </w:r>
      <w:r w:rsidRPr="00537CA8">
        <w:t xml:space="preserve"> : </w:t>
      </w:r>
      <w:r w:rsidRPr="00537CA8">
        <w:rPr>
          <w:b/>
          <w:bCs/>
        </w:rPr>
        <w:t>Exécution</w:t>
      </w:r>
    </w:p>
    <w:p w14:paraId="48E61304" w14:textId="77777777" w:rsidR="00537CA8" w:rsidRPr="00537CA8" w:rsidRDefault="00537CA8" w:rsidP="00537CA8">
      <w:r w:rsidRPr="00537CA8">
        <w:t>Le Maire et le Comptable public sont chargés chacun pour ce qui le concerne de l'exécution de la présente délibération qui sera transmise au représentant de l'Etat dans le département pour contrôle de légalité.</w:t>
      </w:r>
    </w:p>
    <w:p w14:paraId="3D745DBD" w14:textId="77777777" w:rsidR="00537CA8" w:rsidRPr="00537CA8" w:rsidRDefault="00537CA8" w:rsidP="00537CA8"/>
    <w:p w14:paraId="343CFAF8" w14:textId="77777777" w:rsidR="00537CA8" w:rsidRPr="00537CA8" w:rsidRDefault="00537CA8" w:rsidP="00537CA8"/>
    <w:p w14:paraId="2274D7BC" w14:textId="77777777" w:rsidR="00537CA8" w:rsidRPr="00537CA8" w:rsidRDefault="00537CA8" w:rsidP="00537CA8">
      <w:r w:rsidRPr="00537CA8">
        <w:rPr>
          <w:b/>
          <w:bCs/>
          <w:u w:val="single"/>
        </w:rPr>
        <w:t>Article 9</w:t>
      </w:r>
      <w:r w:rsidRPr="00537CA8">
        <w:t xml:space="preserve"> : </w:t>
      </w:r>
    </w:p>
    <w:p w14:paraId="77850064" w14:textId="77777777" w:rsidR="00537CA8" w:rsidRPr="00537CA8" w:rsidRDefault="00537CA8" w:rsidP="00537CA8">
      <w:r w:rsidRPr="00537CA8">
        <w:t>La présente délibération prendra effet au _______________.</w:t>
      </w:r>
    </w:p>
    <w:p w14:paraId="446CE5E7" w14:textId="77777777" w:rsidR="00537CA8" w:rsidRPr="00537CA8" w:rsidRDefault="00537CA8" w:rsidP="00537CA8"/>
    <w:p w14:paraId="20BCA636" w14:textId="77777777" w:rsidR="00537CA8" w:rsidRPr="00537CA8" w:rsidRDefault="00537CA8" w:rsidP="00537CA8"/>
    <w:p w14:paraId="0041308D" w14:textId="77777777" w:rsidR="00537CA8" w:rsidRPr="00537CA8" w:rsidRDefault="00537CA8" w:rsidP="00537CA8">
      <w:pPr>
        <w:rPr>
          <w:b/>
          <w:bCs/>
          <w:u w:val="single"/>
        </w:rPr>
      </w:pPr>
      <w:r w:rsidRPr="00537CA8">
        <w:rPr>
          <w:b/>
          <w:bCs/>
          <w:u w:val="single"/>
        </w:rPr>
        <w:t>Article 10</w:t>
      </w:r>
      <w:r w:rsidRPr="00537CA8">
        <w:rPr>
          <w:b/>
          <w:bCs/>
        </w:rPr>
        <w:t xml:space="preserve"> :</w:t>
      </w:r>
      <w:r w:rsidRPr="00537CA8">
        <w:t xml:space="preserve"> </w:t>
      </w:r>
      <w:r w:rsidRPr="00537CA8">
        <w:rPr>
          <w:b/>
          <w:bCs/>
        </w:rPr>
        <w:t>Voies et délais de recours</w:t>
      </w:r>
      <w:r w:rsidRPr="00537CA8">
        <w:rPr>
          <w:b/>
          <w:bCs/>
          <w:u w:val="single"/>
        </w:rPr>
        <w:t xml:space="preserve"> </w:t>
      </w:r>
    </w:p>
    <w:p w14:paraId="5FF036E9" w14:textId="77777777" w:rsidR="00537CA8" w:rsidRPr="00537CA8" w:rsidRDefault="00537CA8" w:rsidP="00537CA8">
      <w:r w:rsidRPr="00537CA8">
        <w:t xml:space="preserve">Le Maire </w:t>
      </w:r>
      <w:r w:rsidRPr="00537CA8">
        <w:rPr>
          <w:i/>
          <w:iCs/>
          <w:color w:val="86C0C9" w:themeColor="accent3"/>
        </w:rPr>
        <w:t>(Président)</w:t>
      </w:r>
      <w:r w:rsidRPr="00537CA8">
        <w:rPr>
          <w:color w:val="86C0C9" w:themeColor="accent3"/>
        </w:rPr>
        <w:t xml:space="preserve"> </w:t>
      </w:r>
      <w:r w:rsidRPr="00537CA8">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1D777080" w14:textId="77777777" w:rsidR="00537CA8" w:rsidRPr="00537CA8" w:rsidRDefault="00537CA8" w:rsidP="00537CA8"/>
    <w:p w14:paraId="0A2396ED" w14:textId="77777777" w:rsidR="00537CA8" w:rsidRPr="00537CA8" w:rsidRDefault="00537CA8" w:rsidP="00537CA8"/>
    <w:p w14:paraId="483508F2" w14:textId="02FF79CC" w:rsidR="00537CA8" w:rsidRPr="00537CA8" w:rsidRDefault="00537CA8" w:rsidP="00537CA8">
      <w:r w:rsidRPr="00537CA8">
        <w:tab/>
      </w:r>
    </w:p>
    <w:p w14:paraId="5DB89BD3" w14:textId="77777777" w:rsidR="002D7670" w:rsidRPr="002D7670" w:rsidRDefault="002D7670" w:rsidP="00565D14"/>
    <w:p w14:paraId="7DCF6724" w14:textId="77777777" w:rsidR="002D7670" w:rsidRDefault="002D7670" w:rsidP="00A46410">
      <w:pPr>
        <w:pStyle w:val="textecourant"/>
        <w:tabs>
          <w:tab w:val="left" w:pos="283"/>
        </w:tabs>
        <w:spacing w:before="57"/>
        <w:rPr>
          <w:sz w:val="20"/>
          <w:szCs w:val="20"/>
        </w:rPr>
      </w:pP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0DB1080C" w:rsidR="00537CA8" w:rsidRDefault="00537CA8">
      <w:pPr>
        <w:spacing w:after="200" w:line="276" w:lineRule="auto"/>
        <w:jc w:val="left"/>
        <w:rPr>
          <w:rFonts w:cs="Arial"/>
          <w:i/>
          <w:color w:val="4DA0AD" w:themeColor="accent3" w:themeShade="BF"/>
          <w:szCs w:val="20"/>
        </w:rPr>
      </w:pPr>
      <w:r>
        <w:rPr>
          <w:rFonts w:cs="Arial"/>
          <w:i/>
          <w:color w:val="4DA0AD" w:themeColor="accent3" w:themeShade="BF"/>
          <w:szCs w:val="20"/>
        </w:rPr>
        <w:br w:type="page"/>
      </w:r>
    </w:p>
    <w:p w14:paraId="287413A8" w14:textId="77777777" w:rsidR="00537CA8" w:rsidRPr="00537CA8" w:rsidRDefault="00537CA8" w:rsidP="00537CA8">
      <w:pPr>
        <w:tabs>
          <w:tab w:val="left" w:pos="6480"/>
        </w:tabs>
        <w:jc w:val="left"/>
        <w:rPr>
          <w:rFonts w:eastAsia="Times New Roman" w:cs="Arial"/>
          <w:sz w:val="22"/>
          <w:szCs w:val="24"/>
        </w:rPr>
      </w:pPr>
      <w:r w:rsidRPr="00537CA8">
        <w:rPr>
          <w:rFonts w:eastAsia="Times New Roman" w:cs="Arial"/>
          <w:sz w:val="22"/>
          <w:szCs w:val="24"/>
        </w:rPr>
        <w:lastRenderedPageBreak/>
        <w:t>Annexe : Taux de l’indemnité pour travaux dangereux, insalubres, incommodes ou salissants</w:t>
      </w:r>
    </w:p>
    <w:p w14:paraId="0822CE8E" w14:textId="77777777" w:rsidR="00537CA8" w:rsidRPr="00537CA8" w:rsidRDefault="00537CA8" w:rsidP="00537CA8">
      <w:pPr>
        <w:tabs>
          <w:tab w:val="left" w:pos="6480"/>
        </w:tabs>
        <w:jc w:val="left"/>
        <w:rPr>
          <w:rFonts w:eastAsia="Times New Roman" w:cs="Arial"/>
          <w:sz w:val="22"/>
          <w:szCs w:val="24"/>
        </w:rPr>
      </w:pPr>
      <w:r w:rsidRPr="00537CA8">
        <w:rPr>
          <w:rFonts w:eastAsia="Times New Roman" w:cs="Arial"/>
          <w:sz w:val="22"/>
          <w:szCs w:val="24"/>
        </w:rPr>
        <w:t>Arrêté ministériel du 30 août 2001</w:t>
      </w:r>
    </w:p>
    <w:p w14:paraId="3A5ACBBE" w14:textId="77777777" w:rsidR="00537CA8" w:rsidRPr="00537CA8" w:rsidRDefault="00537CA8" w:rsidP="00537CA8">
      <w:pPr>
        <w:tabs>
          <w:tab w:val="left" w:pos="6480"/>
        </w:tabs>
        <w:jc w:val="left"/>
        <w:rPr>
          <w:rFonts w:ascii="Trebuchet MS" w:eastAsia="Times New Roman" w:hAnsi="Trebuchet MS" w:cs="Times New Roman"/>
          <w:sz w:val="22"/>
          <w:szCs w:val="24"/>
        </w:rPr>
      </w:pPr>
    </w:p>
    <w:tbl>
      <w:tblPr>
        <w:tblW w:w="496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08"/>
        <w:gridCol w:w="996"/>
        <w:gridCol w:w="996"/>
      </w:tblGrid>
      <w:tr w:rsidR="00537CA8" w:rsidRPr="00537CA8" w14:paraId="21FAB190" w14:textId="77777777" w:rsidTr="00537CA8">
        <w:trPr>
          <w:tblCellSpacing w:w="0" w:type="dxa"/>
          <w:jc w:val="center"/>
        </w:trPr>
        <w:tc>
          <w:tcPr>
            <w:tcW w:w="4042" w:type="pct"/>
            <w:shd w:val="clear" w:color="auto" w:fill="0F304D" w:themeFill="accent2"/>
            <w:vAlign w:val="center"/>
          </w:tcPr>
          <w:p w14:paraId="48470DAB" w14:textId="77777777" w:rsidR="00537CA8" w:rsidRPr="00537CA8" w:rsidRDefault="00537CA8" w:rsidP="00537CA8">
            <w:pPr>
              <w:jc w:val="center"/>
              <w:rPr>
                <w:rFonts w:eastAsia="Times New Roman" w:cs="Arial"/>
                <w:b/>
                <w:bCs/>
                <w:szCs w:val="20"/>
              </w:rPr>
            </w:pPr>
            <w:r w:rsidRPr="00537CA8">
              <w:rPr>
                <w:rFonts w:eastAsia="Times New Roman" w:cs="Arial"/>
                <w:b/>
                <w:bCs/>
                <w:szCs w:val="20"/>
              </w:rPr>
              <w:t>Travaux</w:t>
            </w:r>
          </w:p>
        </w:tc>
        <w:tc>
          <w:tcPr>
            <w:tcW w:w="0" w:type="auto"/>
            <w:shd w:val="clear" w:color="auto" w:fill="0F304D" w:themeFill="accent2"/>
            <w:vAlign w:val="center"/>
          </w:tcPr>
          <w:p w14:paraId="68E42432" w14:textId="77777777" w:rsidR="00537CA8" w:rsidRPr="00537CA8" w:rsidRDefault="00537CA8" w:rsidP="00537CA8">
            <w:pPr>
              <w:jc w:val="center"/>
              <w:rPr>
                <w:rFonts w:eastAsia="Times New Roman" w:cs="Arial"/>
                <w:b/>
                <w:bCs/>
                <w:szCs w:val="20"/>
              </w:rPr>
            </w:pPr>
            <w:r w:rsidRPr="00537CA8">
              <w:rPr>
                <w:rFonts w:eastAsia="Times New Roman" w:cs="Arial"/>
                <w:b/>
                <w:bCs/>
                <w:szCs w:val="20"/>
              </w:rPr>
              <w:t>Nombre de base</w:t>
            </w:r>
          </w:p>
        </w:tc>
        <w:tc>
          <w:tcPr>
            <w:tcW w:w="0" w:type="auto"/>
            <w:shd w:val="clear" w:color="auto" w:fill="0F304D" w:themeFill="accent2"/>
            <w:vAlign w:val="center"/>
          </w:tcPr>
          <w:p w14:paraId="134D9285" w14:textId="77777777" w:rsidR="00537CA8" w:rsidRPr="00537CA8" w:rsidRDefault="00537CA8" w:rsidP="00537CA8">
            <w:pPr>
              <w:jc w:val="center"/>
              <w:rPr>
                <w:rFonts w:eastAsia="Times New Roman" w:cs="Arial"/>
                <w:b/>
                <w:bCs/>
                <w:szCs w:val="20"/>
              </w:rPr>
            </w:pPr>
            <w:r w:rsidRPr="00537CA8">
              <w:rPr>
                <w:rFonts w:eastAsia="Times New Roman" w:cs="Arial"/>
                <w:b/>
                <w:bCs/>
                <w:szCs w:val="20"/>
              </w:rPr>
              <w:t>Montant en euros</w:t>
            </w:r>
          </w:p>
        </w:tc>
      </w:tr>
      <w:tr w:rsidR="00537CA8" w:rsidRPr="00537CA8" w14:paraId="7E5233BB" w14:textId="77777777" w:rsidTr="00537CA8">
        <w:trPr>
          <w:tblCellSpacing w:w="0" w:type="dxa"/>
          <w:jc w:val="center"/>
        </w:trPr>
        <w:tc>
          <w:tcPr>
            <w:tcW w:w="4042" w:type="pct"/>
            <w:shd w:val="clear" w:color="auto" w:fill="86C0C9" w:themeFill="accent3"/>
            <w:vAlign w:val="center"/>
          </w:tcPr>
          <w:p w14:paraId="297AB276" w14:textId="77777777" w:rsidR="00537CA8" w:rsidRPr="00537CA8" w:rsidRDefault="00537CA8" w:rsidP="00537CA8">
            <w:pPr>
              <w:ind w:firstLine="127"/>
              <w:rPr>
                <w:rFonts w:eastAsia="Times New Roman" w:cs="Arial"/>
                <w:b/>
                <w:bCs/>
                <w:szCs w:val="20"/>
              </w:rPr>
            </w:pPr>
            <w:r w:rsidRPr="00537CA8">
              <w:rPr>
                <w:rFonts w:eastAsia="Times New Roman" w:cs="Arial"/>
                <w:b/>
                <w:bCs/>
                <w:szCs w:val="20"/>
              </w:rPr>
              <w:t xml:space="preserve">Catégorie I : </w:t>
            </w:r>
          </w:p>
          <w:p w14:paraId="631D27D7" w14:textId="77777777" w:rsidR="00537CA8" w:rsidRPr="00537CA8" w:rsidRDefault="00537CA8" w:rsidP="00537CA8">
            <w:pPr>
              <w:ind w:firstLine="127"/>
              <w:rPr>
                <w:rFonts w:eastAsia="Times New Roman" w:cs="Arial"/>
                <w:szCs w:val="20"/>
              </w:rPr>
            </w:pPr>
            <w:r w:rsidRPr="00537CA8">
              <w:rPr>
                <w:rFonts w:eastAsia="Times New Roman" w:cs="Arial"/>
                <w:b/>
                <w:bCs/>
                <w:szCs w:val="20"/>
              </w:rPr>
              <w:t>Travaux présentant des risques d’accidents corporels ou de lésions organiques :</w:t>
            </w:r>
          </w:p>
        </w:tc>
        <w:tc>
          <w:tcPr>
            <w:tcW w:w="479" w:type="pct"/>
            <w:shd w:val="clear" w:color="auto" w:fill="86C0C9" w:themeFill="accent3"/>
            <w:vAlign w:val="center"/>
          </w:tcPr>
          <w:p w14:paraId="708E4E2D" w14:textId="77777777" w:rsidR="00537CA8" w:rsidRPr="00537CA8" w:rsidRDefault="00537CA8" w:rsidP="00537CA8">
            <w:pPr>
              <w:rPr>
                <w:rFonts w:eastAsia="Times New Roman" w:cs="Arial"/>
                <w:szCs w:val="20"/>
              </w:rPr>
            </w:pPr>
            <w:r w:rsidRPr="00537CA8">
              <w:rPr>
                <w:rFonts w:eastAsia="Times New Roman" w:cs="Arial"/>
                <w:szCs w:val="20"/>
              </w:rPr>
              <w:t> </w:t>
            </w:r>
          </w:p>
        </w:tc>
        <w:tc>
          <w:tcPr>
            <w:tcW w:w="479" w:type="pct"/>
            <w:shd w:val="clear" w:color="auto" w:fill="86C0C9" w:themeFill="accent3"/>
            <w:vAlign w:val="center"/>
          </w:tcPr>
          <w:p w14:paraId="1E5A03D8" w14:textId="77777777" w:rsidR="00537CA8" w:rsidRPr="00537CA8" w:rsidRDefault="00537CA8" w:rsidP="00537CA8">
            <w:pPr>
              <w:rPr>
                <w:rFonts w:eastAsia="Times New Roman" w:cs="Arial"/>
                <w:szCs w:val="20"/>
              </w:rPr>
            </w:pPr>
            <w:r w:rsidRPr="00537CA8">
              <w:rPr>
                <w:rFonts w:eastAsia="Times New Roman" w:cs="Arial"/>
                <w:szCs w:val="20"/>
              </w:rPr>
              <w:t> </w:t>
            </w:r>
          </w:p>
        </w:tc>
      </w:tr>
      <w:tr w:rsidR="00537CA8" w:rsidRPr="00537CA8" w14:paraId="2E271356" w14:textId="77777777" w:rsidTr="00456F91">
        <w:trPr>
          <w:tblCellSpacing w:w="0" w:type="dxa"/>
          <w:jc w:val="center"/>
        </w:trPr>
        <w:tc>
          <w:tcPr>
            <w:tcW w:w="4042" w:type="pct"/>
            <w:vAlign w:val="center"/>
          </w:tcPr>
          <w:p w14:paraId="32978AF7"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Opérations employant des liants hydrocarbonés à haute température ;</w:t>
            </w:r>
          </w:p>
        </w:tc>
        <w:tc>
          <w:tcPr>
            <w:tcW w:w="479" w:type="pct"/>
            <w:vAlign w:val="center"/>
          </w:tcPr>
          <w:p w14:paraId="7ABAED49"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702DF544"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775D76C1" w14:textId="77777777" w:rsidTr="00456F91">
        <w:trPr>
          <w:tblCellSpacing w:w="0" w:type="dxa"/>
          <w:jc w:val="center"/>
        </w:trPr>
        <w:tc>
          <w:tcPr>
            <w:tcW w:w="4042" w:type="pct"/>
            <w:vAlign w:val="center"/>
          </w:tcPr>
          <w:p w14:paraId="2C1D97CB"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comportant des déplacements sur parois verticales ou très pentues nécessitant l’emploi de techniques d’escalade ;</w:t>
            </w:r>
          </w:p>
        </w:tc>
        <w:tc>
          <w:tcPr>
            <w:tcW w:w="479" w:type="pct"/>
            <w:vAlign w:val="center"/>
          </w:tcPr>
          <w:p w14:paraId="06552084"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0ACD0C4C"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5DBCC0C7" w14:textId="77777777" w:rsidTr="00456F91">
        <w:trPr>
          <w:tblCellSpacing w:w="0" w:type="dxa"/>
          <w:jc w:val="center"/>
        </w:trPr>
        <w:tc>
          <w:tcPr>
            <w:tcW w:w="4042" w:type="pct"/>
            <w:vAlign w:val="center"/>
          </w:tcPr>
          <w:p w14:paraId="57A1BE53"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Utilisation de carotteuses de chaussées ou de sondeuses carotteuses de sols ;</w:t>
            </w:r>
          </w:p>
        </w:tc>
        <w:tc>
          <w:tcPr>
            <w:tcW w:w="479" w:type="pct"/>
            <w:vAlign w:val="center"/>
          </w:tcPr>
          <w:p w14:paraId="730F6BDD"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31A9E4D6"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37AF203F" w14:textId="77777777" w:rsidTr="00456F91">
        <w:trPr>
          <w:tblCellSpacing w:w="0" w:type="dxa"/>
          <w:jc w:val="center"/>
        </w:trPr>
        <w:tc>
          <w:tcPr>
            <w:tcW w:w="4042" w:type="pct"/>
            <w:vAlign w:val="center"/>
          </w:tcPr>
          <w:p w14:paraId="2D3C86B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Utilisation d’appareils à radioisotopes (gamma neutron).</w:t>
            </w:r>
          </w:p>
        </w:tc>
        <w:tc>
          <w:tcPr>
            <w:tcW w:w="479" w:type="pct"/>
            <w:vAlign w:val="center"/>
          </w:tcPr>
          <w:p w14:paraId="0609981E"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391D64C1"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4F0055E5" w14:textId="77777777" w:rsidTr="00456F91">
        <w:trPr>
          <w:tblCellSpacing w:w="0" w:type="dxa"/>
          <w:jc w:val="center"/>
        </w:trPr>
        <w:tc>
          <w:tcPr>
            <w:tcW w:w="4042" w:type="pct"/>
            <w:vAlign w:val="center"/>
          </w:tcPr>
          <w:p w14:paraId="5474EC73"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 xml:space="preserve">Recherches </w:t>
            </w:r>
            <w:proofErr w:type="spellStart"/>
            <w:r w:rsidRPr="00537CA8">
              <w:rPr>
                <w:rFonts w:eastAsia="Times New Roman" w:cs="Arial"/>
                <w:color w:val="000000"/>
                <w:szCs w:val="20"/>
              </w:rPr>
              <w:t>sousmarines</w:t>
            </w:r>
            <w:proofErr w:type="spellEnd"/>
            <w:r w:rsidRPr="00537CA8">
              <w:rPr>
                <w:rFonts w:eastAsia="Times New Roman" w:cs="Arial"/>
                <w:color w:val="000000"/>
                <w:szCs w:val="20"/>
              </w:rPr>
              <w:t xml:space="preserve"> (travaux de)</w:t>
            </w:r>
          </w:p>
        </w:tc>
        <w:tc>
          <w:tcPr>
            <w:tcW w:w="479" w:type="pct"/>
            <w:vAlign w:val="center"/>
          </w:tcPr>
          <w:p w14:paraId="249FD045"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2205AE66"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415F5DE5" w14:textId="77777777" w:rsidTr="00456F91">
        <w:trPr>
          <w:tblCellSpacing w:w="0" w:type="dxa"/>
          <w:jc w:val="center"/>
        </w:trPr>
        <w:tc>
          <w:tcPr>
            <w:tcW w:w="4042" w:type="pct"/>
            <w:vAlign w:val="center"/>
          </w:tcPr>
          <w:p w14:paraId="5AEC2009"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Désobusages et de bombages (travaux de)</w:t>
            </w:r>
          </w:p>
        </w:tc>
        <w:tc>
          <w:tcPr>
            <w:tcW w:w="479" w:type="pct"/>
            <w:vAlign w:val="center"/>
          </w:tcPr>
          <w:p w14:paraId="2F95DE0D"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237457F7"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3C5D1389" w14:textId="77777777" w:rsidTr="00456F91">
        <w:trPr>
          <w:tblCellSpacing w:w="0" w:type="dxa"/>
          <w:jc w:val="center"/>
        </w:trPr>
        <w:tc>
          <w:tcPr>
            <w:tcW w:w="4042" w:type="pct"/>
            <w:vAlign w:val="center"/>
          </w:tcPr>
          <w:p w14:paraId="02A1F8C1"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Plongée effectuée à l'aide d'un scaphandre autonome ou d'un scaphandre lourd</w:t>
            </w:r>
          </w:p>
        </w:tc>
        <w:tc>
          <w:tcPr>
            <w:tcW w:w="479" w:type="pct"/>
            <w:vAlign w:val="center"/>
          </w:tcPr>
          <w:p w14:paraId="1AD0C06F" w14:textId="77777777" w:rsidR="00537CA8" w:rsidRPr="00537CA8" w:rsidRDefault="00537CA8" w:rsidP="00537CA8">
            <w:pPr>
              <w:spacing w:before="100" w:beforeAutospacing="1" w:after="100" w:afterAutospacing="1"/>
              <w:jc w:val="center"/>
              <w:rPr>
                <w:rFonts w:eastAsia="Times New Roman" w:cs="Arial"/>
                <w:szCs w:val="20"/>
              </w:rPr>
            </w:pPr>
            <w:r w:rsidRPr="00537CA8">
              <w:rPr>
                <w:rFonts w:eastAsia="Times New Roman" w:cs="Arial"/>
                <w:szCs w:val="20"/>
              </w:rPr>
              <w:t>2 taux</w:t>
            </w:r>
          </w:p>
        </w:tc>
        <w:tc>
          <w:tcPr>
            <w:tcW w:w="479" w:type="pct"/>
            <w:vAlign w:val="center"/>
          </w:tcPr>
          <w:p w14:paraId="55731E45" w14:textId="77777777" w:rsidR="00537CA8" w:rsidRPr="00537CA8" w:rsidRDefault="00537CA8" w:rsidP="00537CA8">
            <w:pPr>
              <w:jc w:val="center"/>
              <w:rPr>
                <w:rFonts w:eastAsia="Times New Roman" w:cs="Arial"/>
                <w:szCs w:val="20"/>
              </w:rPr>
            </w:pPr>
            <w:r w:rsidRPr="00537CA8">
              <w:rPr>
                <w:rFonts w:eastAsia="Times New Roman" w:cs="Arial"/>
                <w:szCs w:val="20"/>
              </w:rPr>
              <w:t>2,06</w:t>
            </w:r>
          </w:p>
        </w:tc>
      </w:tr>
      <w:tr w:rsidR="00537CA8" w:rsidRPr="00537CA8" w14:paraId="43457E80" w14:textId="77777777" w:rsidTr="00456F91">
        <w:trPr>
          <w:tblCellSpacing w:w="0" w:type="dxa"/>
          <w:jc w:val="center"/>
        </w:trPr>
        <w:tc>
          <w:tcPr>
            <w:tcW w:w="4042" w:type="pct"/>
            <w:vAlign w:val="center"/>
          </w:tcPr>
          <w:p w14:paraId="59C339C6"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 xml:space="preserve">Travaux exécutés en environnement bruyant (niveau supérieur ou égal à 85 </w:t>
            </w:r>
            <w:proofErr w:type="spellStart"/>
            <w:r w:rsidRPr="00537CA8">
              <w:rPr>
                <w:rFonts w:eastAsia="Times New Roman" w:cs="Arial"/>
                <w:color w:val="000000"/>
                <w:szCs w:val="20"/>
              </w:rPr>
              <w:t>db</w:t>
            </w:r>
            <w:proofErr w:type="spellEnd"/>
            <w:r w:rsidRPr="00537CA8">
              <w:rPr>
                <w:rFonts w:eastAsia="Times New Roman" w:cs="Arial"/>
                <w:color w:val="000000"/>
                <w:szCs w:val="20"/>
              </w:rPr>
              <w:t>) ;</w:t>
            </w:r>
          </w:p>
        </w:tc>
        <w:tc>
          <w:tcPr>
            <w:tcW w:w="479" w:type="pct"/>
            <w:vAlign w:val="center"/>
          </w:tcPr>
          <w:p w14:paraId="318C33F4" w14:textId="77777777" w:rsidR="00537CA8" w:rsidRPr="00537CA8" w:rsidRDefault="00537CA8" w:rsidP="00537CA8">
            <w:pPr>
              <w:jc w:val="center"/>
              <w:rPr>
                <w:rFonts w:eastAsia="Times New Roman" w:cs="Arial"/>
                <w:szCs w:val="20"/>
              </w:rPr>
            </w:pPr>
            <w:r w:rsidRPr="00537CA8">
              <w:rPr>
                <w:rFonts w:eastAsia="Times New Roman" w:cs="Arial"/>
                <w:szCs w:val="20"/>
              </w:rPr>
              <w:t>1 taux 3/4</w:t>
            </w:r>
          </w:p>
        </w:tc>
        <w:tc>
          <w:tcPr>
            <w:tcW w:w="479" w:type="pct"/>
            <w:vAlign w:val="center"/>
          </w:tcPr>
          <w:p w14:paraId="6AB1D501" w14:textId="77777777" w:rsidR="00537CA8" w:rsidRPr="00537CA8" w:rsidRDefault="00537CA8" w:rsidP="00537CA8">
            <w:pPr>
              <w:jc w:val="center"/>
              <w:rPr>
                <w:rFonts w:eastAsia="Times New Roman" w:cs="Arial"/>
                <w:szCs w:val="20"/>
              </w:rPr>
            </w:pPr>
            <w:r w:rsidRPr="00537CA8">
              <w:rPr>
                <w:rFonts w:eastAsia="Times New Roman" w:cs="Arial"/>
                <w:szCs w:val="20"/>
              </w:rPr>
              <w:t>1,80</w:t>
            </w:r>
          </w:p>
        </w:tc>
      </w:tr>
      <w:tr w:rsidR="00537CA8" w:rsidRPr="00537CA8" w14:paraId="363D876E" w14:textId="77777777" w:rsidTr="00456F91">
        <w:trPr>
          <w:tblCellSpacing w:w="0" w:type="dxa"/>
          <w:jc w:val="center"/>
        </w:trPr>
        <w:tc>
          <w:tcPr>
            <w:tcW w:w="4042" w:type="pct"/>
            <w:vAlign w:val="center"/>
          </w:tcPr>
          <w:p w14:paraId="5C12C6F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dans les carrières souterraines dont l’exploitation est abandonnée.</w:t>
            </w:r>
          </w:p>
        </w:tc>
        <w:tc>
          <w:tcPr>
            <w:tcW w:w="479" w:type="pct"/>
            <w:vAlign w:val="center"/>
          </w:tcPr>
          <w:p w14:paraId="5768FDF3" w14:textId="77777777" w:rsidR="00537CA8" w:rsidRPr="00537CA8" w:rsidRDefault="00537CA8" w:rsidP="00537CA8">
            <w:pPr>
              <w:jc w:val="center"/>
              <w:rPr>
                <w:rFonts w:eastAsia="Times New Roman" w:cs="Arial"/>
                <w:szCs w:val="20"/>
              </w:rPr>
            </w:pPr>
            <w:r w:rsidRPr="00537CA8">
              <w:rPr>
                <w:rFonts w:eastAsia="Times New Roman" w:cs="Arial"/>
                <w:szCs w:val="20"/>
              </w:rPr>
              <w:t>1 taux 3/4</w:t>
            </w:r>
          </w:p>
        </w:tc>
        <w:tc>
          <w:tcPr>
            <w:tcW w:w="479" w:type="pct"/>
            <w:vAlign w:val="center"/>
          </w:tcPr>
          <w:p w14:paraId="71E340E5" w14:textId="77777777" w:rsidR="00537CA8" w:rsidRPr="00537CA8" w:rsidRDefault="00537CA8" w:rsidP="00537CA8">
            <w:pPr>
              <w:jc w:val="center"/>
              <w:rPr>
                <w:rFonts w:eastAsia="Times New Roman" w:cs="Arial"/>
                <w:szCs w:val="20"/>
              </w:rPr>
            </w:pPr>
            <w:r w:rsidRPr="00537CA8">
              <w:rPr>
                <w:rFonts w:eastAsia="Times New Roman" w:cs="Arial"/>
                <w:szCs w:val="20"/>
              </w:rPr>
              <w:t>1,80</w:t>
            </w:r>
          </w:p>
        </w:tc>
      </w:tr>
      <w:tr w:rsidR="00537CA8" w:rsidRPr="00537CA8" w14:paraId="1A46213A" w14:textId="77777777" w:rsidTr="00456F91">
        <w:trPr>
          <w:tblCellSpacing w:w="0" w:type="dxa"/>
          <w:jc w:val="center"/>
        </w:trPr>
        <w:tc>
          <w:tcPr>
            <w:tcW w:w="4042" w:type="pct"/>
            <w:vAlign w:val="center"/>
          </w:tcPr>
          <w:p w14:paraId="718152B6"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Utilisation d'un outillage pneumatique (travaux de sablage, perforateur, marteau-piqueur, perceuse ébardeuse, brise-béton, dame vibrante)</w:t>
            </w:r>
          </w:p>
        </w:tc>
        <w:tc>
          <w:tcPr>
            <w:tcW w:w="479" w:type="pct"/>
            <w:vAlign w:val="center"/>
          </w:tcPr>
          <w:p w14:paraId="094F0276" w14:textId="77777777" w:rsidR="00537CA8" w:rsidRPr="00537CA8" w:rsidRDefault="00537CA8" w:rsidP="00537CA8">
            <w:pPr>
              <w:jc w:val="center"/>
              <w:rPr>
                <w:rFonts w:eastAsia="Times New Roman" w:cs="Arial"/>
                <w:szCs w:val="20"/>
              </w:rPr>
            </w:pPr>
            <w:r w:rsidRPr="00537CA8">
              <w:rPr>
                <w:rFonts w:eastAsia="Times New Roman" w:cs="Arial"/>
                <w:szCs w:val="20"/>
              </w:rPr>
              <w:t>1 taux 3/4</w:t>
            </w:r>
          </w:p>
        </w:tc>
        <w:tc>
          <w:tcPr>
            <w:tcW w:w="479" w:type="pct"/>
            <w:vAlign w:val="center"/>
          </w:tcPr>
          <w:p w14:paraId="371E2389" w14:textId="77777777" w:rsidR="00537CA8" w:rsidRPr="00537CA8" w:rsidRDefault="00537CA8" w:rsidP="00537CA8">
            <w:pPr>
              <w:jc w:val="center"/>
              <w:rPr>
                <w:rFonts w:eastAsia="Times New Roman" w:cs="Arial"/>
                <w:szCs w:val="20"/>
              </w:rPr>
            </w:pPr>
            <w:r w:rsidRPr="00537CA8">
              <w:rPr>
                <w:rFonts w:eastAsia="Times New Roman" w:cs="Arial"/>
                <w:szCs w:val="20"/>
              </w:rPr>
              <w:t>1,80</w:t>
            </w:r>
          </w:p>
        </w:tc>
      </w:tr>
      <w:tr w:rsidR="00537CA8" w:rsidRPr="00537CA8" w14:paraId="4335E97E" w14:textId="77777777" w:rsidTr="00456F91">
        <w:trPr>
          <w:tblCellSpacing w:w="0" w:type="dxa"/>
          <w:jc w:val="center"/>
        </w:trPr>
        <w:tc>
          <w:tcPr>
            <w:tcW w:w="4042" w:type="pct"/>
            <w:vAlign w:val="center"/>
          </w:tcPr>
          <w:p w14:paraId="0F757B79"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Conduite d'engins spéciaux de travaux publics (pelle hydraulique, tracteur seul ou avec équipement de terrassement, déblayeuse semi-portée et cylindre vibrant)</w:t>
            </w:r>
          </w:p>
        </w:tc>
        <w:tc>
          <w:tcPr>
            <w:tcW w:w="479" w:type="pct"/>
            <w:vAlign w:val="center"/>
          </w:tcPr>
          <w:p w14:paraId="290E9CC9" w14:textId="77777777" w:rsidR="00537CA8" w:rsidRPr="00537CA8" w:rsidRDefault="00537CA8" w:rsidP="00537CA8">
            <w:pPr>
              <w:jc w:val="center"/>
              <w:rPr>
                <w:rFonts w:eastAsia="Times New Roman" w:cs="Arial"/>
                <w:szCs w:val="20"/>
              </w:rPr>
            </w:pPr>
            <w:r w:rsidRPr="00537CA8">
              <w:rPr>
                <w:rFonts w:eastAsia="Times New Roman" w:cs="Arial"/>
                <w:szCs w:val="20"/>
              </w:rPr>
              <w:t>1 taux 3/4</w:t>
            </w:r>
          </w:p>
        </w:tc>
        <w:tc>
          <w:tcPr>
            <w:tcW w:w="479" w:type="pct"/>
            <w:vAlign w:val="center"/>
          </w:tcPr>
          <w:p w14:paraId="30A19DF7" w14:textId="77777777" w:rsidR="00537CA8" w:rsidRPr="00537CA8" w:rsidRDefault="00537CA8" w:rsidP="00537CA8">
            <w:pPr>
              <w:jc w:val="center"/>
              <w:rPr>
                <w:rFonts w:eastAsia="Times New Roman" w:cs="Arial"/>
                <w:szCs w:val="20"/>
              </w:rPr>
            </w:pPr>
            <w:r w:rsidRPr="00537CA8">
              <w:rPr>
                <w:rFonts w:eastAsia="Times New Roman" w:cs="Arial"/>
                <w:szCs w:val="20"/>
              </w:rPr>
              <w:t>1,80</w:t>
            </w:r>
          </w:p>
        </w:tc>
      </w:tr>
      <w:tr w:rsidR="00537CA8" w:rsidRPr="00537CA8" w14:paraId="7CDB1948" w14:textId="77777777" w:rsidTr="00456F91">
        <w:trPr>
          <w:tblCellSpacing w:w="0" w:type="dxa"/>
          <w:jc w:val="center"/>
        </w:trPr>
        <w:tc>
          <w:tcPr>
            <w:tcW w:w="4042" w:type="pct"/>
            <w:vAlign w:val="center"/>
          </w:tcPr>
          <w:p w14:paraId="064B5BAC"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 xml:space="preserve">Travaux dans les </w:t>
            </w:r>
            <w:proofErr w:type="spellStart"/>
            <w:r w:rsidRPr="00537CA8">
              <w:rPr>
                <w:rFonts w:eastAsia="Times New Roman" w:cs="Arial"/>
                <w:color w:val="000000"/>
                <w:szCs w:val="20"/>
              </w:rPr>
              <w:t>égoûts</w:t>
            </w:r>
            <w:proofErr w:type="spellEnd"/>
          </w:p>
        </w:tc>
        <w:tc>
          <w:tcPr>
            <w:tcW w:w="479" w:type="pct"/>
            <w:vAlign w:val="center"/>
          </w:tcPr>
          <w:p w14:paraId="1408813F" w14:textId="77777777" w:rsidR="00537CA8" w:rsidRPr="00537CA8" w:rsidRDefault="00537CA8" w:rsidP="00537CA8">
            <w:pPr>
              <w:jc w:val="center"/>
              <w:rPr>
                <w:rFonts w:eastAsia="Times New Roman" w:cs="Arial"/>
                <w:szCs w:val="20"/>
              </w:rPr>
            </w:pPr>
            <w:r w:rsidRPr="00537CA8">
              <w:rPr>
                <w:rFonts w:eastAsia="Times New Roman" w:cs="Arial"/>
                <w:szCs w:val="20"/>
              </w:rPr>
              <w:t>1 taux 3/4</w:t>
            </w:r>
          </w:p>
        </w:tc>
        <w:tc>
          <w:tcPr>
            <w:tcW w:w="479" w:type="pct"/>
            <w:vAlign w:val="center"/>
          </w:tcPr>
          <w:p w14:paraId="2553045D" w14:textId="77777777" w:rsidR="00537CA8" w:rsidRPr="00537CA8" w:rsidRDefault="00537CA8" w:rsidP="00537CA8">
            <w:pPr>
              <w:jc w:val="center"/>
              <w:rPr>
                <w:rFonts w:eastAsia="Times New Roman" w:cs="Arial"/>
                <w:szCs w:val="20"/>
              </w:rPr>
            </w:pPr>
            <w:r w:rsidRPr="00537CA8">
              <w:rPr>
                <w:rFonts w:eastAsia="Times New Roman" w:cs="Arial"/>
                <w:szCs w:val="20"/>
              </w:rPr>
              <w:t>1,80</w:t>
            </w:r>
          </w:p>
        </w:tc>
      </w:tr>
      <w:tr w:rsidR="00537CA8" w:rsidRPr="00537CA8" w14:paraId="28AE421F" w14:textId="77777777" w:rsidTr="00456F91">
        <w:trPr>
          <w:tblCellSpacing w:w="0" w:type="dxa"/>
          <w:jc w:val="center"/>
        </w:trPr>
        <w:tc>
          <w:tcPr>
            <w:tcW w:w="4042" w:type="pct"/>
            <w:vAlign w:val="center"/>
          </w:tcPr>
          <w:p w14:paraId="7C65D384"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Travaux en cabine haute tension ;</w:t>
            </w:r>
          </w:p>
        </w:tc>
        <w:tc>
          <w:tcPr>
            <w:tcW w:w="479" w:type="pct"/>
            <w:vAlign w:val="center"/>
          </w:tcPr>
          <w:p w14:paraId="6970729A"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19E95D55"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58072D2A" w14:textId="77777777" w:rsidTr="00456F91">
        <w:trPr>
          <w:tblCellSpacing w:w="0" w:type="dxa"/>
          <w:jc w:val="center"/>
        </w:trPr>
        <w:tc>
          <w:tcPr>
            <w:tcW w:w="4042" w:type="pct"/>
            <w:vAlign w:val="center"/>
          </w:tcPr>
          <w:p w14:paraId="402B7A9A"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Taille des arbres au-dessus de 8 mètres ;</w:t>
            </w:r>
          </w:p>
        </w:tc>
        <w:tc>
          <w:tcPr>
            <w:tcW w:w="479" w:type="pct"/>
            <w:vAlign w:val="center"/>
          </w:tcPr>
          <w:p w14:paraId="5F0B2987"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4A451A1A"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1C19A501" w14:textId="77777777" w:rsidTr="00456F91">
        <w:trPr>
          <w:tblCellSpacing w:w="0" w:type="dxa"/>
          <w:jc w:val="center"/>
        </w:trPr>
        <w:tc>
          <w:tcPr>
            <w:tcW w:w="4042" w:type="pct"/>
            <w:vAlign w:val="center"/>
          </w:tcPr>
          <w:p w14:paraId="265C764E"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manutention avec engins élévateurs ;</w:t>
            </w:r>
          </w:p>
        </w:tc>
        <w:tc>
          <w:tcPr>
            <w:tcW w:w="479" w:type="pct"/>
            <w:vAlign w:val="center"/>
          </w:tcPr>
          <w:p w14:paraId="44336434"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0297FEE1"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5802F8E3" w14:textId="77777777" w:rsidTr="00456F91">
        <w:trPr>
          <w:tblCellSpacing w:w="0" w:type="dxa"/>
          <w:jc w:val="center"/>
        </w:trPr>
        <w:tc>
          <w:tcPr>
            <w:tcW w:w="4042" w:type="pct"/>
            <w:vAlign w:val="center"/>
          </w:tcPr>
          <w:p w14:paraId="1EDBD1BD"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Travaux en égouts, tranchées boueuses ou inondées, regards, chambres de vannes ou aqueducs exigus ou particulièrement insalubres ou dangereux (désignés par arrêté) ;</w:t>
            </w:r>
          </w:p>
        </w:tc>
        <w:tc>
          <w:tcPr>
            <w:tcW w:w="479" w:type="pct"/>
            <w:vAlign w:val="center"/>
          </w:tcPr>
          <w:p w14:paraId="7209F6E1"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035110ED"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6205BAD1" w14:textId="77777777" w:rsidTr="00456F91">
        <w:trPr>
          <w:tblCellSpacing w:w="0" w:type="dxa"/>
          <w:jc w:val="center"/>
        </w:trPr>
        <w:tc>
          <w:tcPr>
            <w:tcW w:w="4042" w:type="pct"/>
            <w:vAlign w:val="center"/>
          </w:tcPr>
          <w:p w14:paraId="0512FD6E"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Utilisation de ponts roulants ;</w:t>
            </w:r>
          </w:p>
        </w:tc>
        <w:tc>
          <w:tcPr>
            <w:tcW w:w="479" w:type="pct"/>
            <w:vAlign w:val="center"/>
          </w:tcPr>
          <w:p w14:paraId="44910ABA"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0B554A08"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38340EEB" w14:textId="77777777" w:rsidTr="00456F91">
        <w:trPr>
          <w:tblCellSpacing w:w="0" w:type="dxa"/>
          <w:jc w:val="center"/>
        </w:trPr>
        <w:tc>
          <w:tcPr>
            <w:tcW w:w="4042" w:type="pct"/>
            <w:vAlign w:val="center"/>
          </w:tcPr>
          <w:p w14:paraId="10DCE0A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sous tension électrique ;</w:t>
            </w:r>
          </w:p>
        </w:tc>
        <w:tc>
          <w:tcPr>
            <w:tcW w:w="479" w:type="pct"/>
            <w:vAlign w:val="center"/>
          </w:tcPr>
          <w:p w14:paraId="04A45D9D"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30A800D1"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432400A6" w14:textId="77777777" w:rsidTr="00456F91">
        <w:trPr>
          <w:tblCellSpacing w:w="0" w:type="dxa"/>
          <w:jc w:val="center"/>
        </w:trPr>
        <w:tc>
          <w:tcPr>
            <w:tcW w:w="4042" w:type="pct"/>
            <w:vAlign w:val="center"/>
          </w:tcPr>
          <w:p w14:paraId="402D21AA"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Essais routiers et contrôles exécutés sur chaussées sous circulation.</w:t>
            </w:r>
          </w:p>
        </w:tc>
        <w:tc>
          <w:tcPr>
            <w:tcW w:w="479" w:type="pct"/>
            <w:vAlign w:val="center"/>
          </w:tcPr>
          <w:p w14:paraId="1E715DDD"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7E2A985C"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21CEB2EF" w14:textId="77777777" w:rsidTr="00456F91">
        <w:trPr>
          <w:tblCellSpacing w:w="0" w:type="dxa"/>
          <w:jc w:val="center"/>
        </w:trPr>
        <w:tc>
          <w:tcPr>
            <w:tcW w:w="4042" w:type="pct"/>
            <w:vAlign w:val="center"/>
          </w:tcPr>
          <w:p w14:paraId="5739CAA0"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manutention avec engins élévateurs</w:t>
            </w:r>
          </w:p>
        </w:tc>
        <w:tc>
          <w:tcPr>
            <w:tcW w:w="479" w:type="pct"/>
            <w:vAlign w:val="center"/>
          </w:tcPr>
          <w:p w14:paraId="5F1F52A9"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4FB304DF"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53167886" w14:textId="77777777" w:rsidTr="00456F91">
        <w:trPr>
          <w:tblCellSpacing w:w="0" w:type="dxa"/>
          <w:jc w:val="center"/>
        </w:trPr>
        <w:tc>
          <w:tcPr>
            <w:tcW w:w="4042" w:type="pct"/>
            <w:vAlign w:val="center"/>
          </w:tcPr>
          <w:p w14:paraId="11B33F16"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Essais de moteur à turbine (travaux d’)</w:t>
            </w:r>
          </w:p>
        </w:tc>
        <w:tc>
          <w:tcPr>
            <w:tcW w:w="479" w:type="pct"/>
            <w:vAlign w:val="center"/>
          </w:tcPr>
          <w:p w14:paraId="2487F4AD"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0EC267D8" w14:textId="77777777" w:rsidR="00537CA8" w:rsidRPr="00537CA8" w:rsidRDefault="00537CA8" w:rsidP="00537CA8">
            <w:pPr>
              <w:jc w:val="center"/>
              <w:rPr>
                <w:rFonts w:eastAsia="Times New Roman" w:cs="Arial"/>
                <w:szCs w:val="20"/>
              </w:rPr>
            </w:pPr>
            <w:r w:rsidRPr="00537CA8">
              <w:rPr>
                <w:rFonts w:eastAsia="Times New Roman" w:cs="Arial"/>
                <w:szCs w:val="20"/>
              </w:rPr>
              <w:t>1,03</w:t>
            </w:r>
          </w:p>
        </w:tc>
      </w:tr>
      <w:tr w:rsidR="00537CA8" w:rsidRPr="00537CA8" w14:paraId="42240B7F" w14:textId="77777777" w:rsidTr="00456F91">
        <w:trPr>
          <w:tblCellSpacing w:w="0" w:type="dxa"/>
          <w:jc w:val="center"/>
        </w:trPr>
        <w:tc>
          <w:tcPr>
            <w:tcW w:w="4042" w:type="pct"/>
            <w:vAlign w:val="center"/>
          </w:tcPr>
          <w:p w14:paraId="201A8938"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Conduite de machines offset, massicots et presses rotatives ;</w:t>
            </w:r>
          </w:p>
        </w:tc>
        <w:tc>
          <w:tcPr>
            <w:tcW w:w="479" w:type="pct"/>
            <w:vAlign w:val="center"/>
          </w:tcPr>
          <w:p w14:paraId="350EE955"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181A405E"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95A525D" w14:textId="77777777" w:rsidTr="00456F91">
        <w:trPr>
          <w:tblCellSpacing w:w="0" w:type="dxa"/>
          <w:jc w:val="center"/>
        </w:trPr>
        <w:tc>
          <w:tcPr>
            <w:tcW w:w="4042" w:type="pct"/>
            <w:vAlign w:val="center"/>
          </w:tcPr>
          <w:p w14:paraId="7BD9ED8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sur scies à ruban, toupies raboteuses et dégauchisseuses ;</w:t>
            </w:r>
          </w:p>
        </w:tc>
        <w:tc>
          <w:tcPr>
            <w:tcW w:w="479" w:type="pct"/>
            <w:vAlign w:val="center"/>
          </w:tcPr>
          <w:p w14:paraId="727B92C3"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9BA40F3"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1FF3A02E" w14:textId="77777777" w:rsidTr="00456F91">
        <w:trPr>
          <w:tblCellSpacing w:w="0" w:type="dxa"/>
          <w:jc w:val="center"/>
        </w:trPr>
        <w:tc>
          <w:tcPr>
            <w:tcW w:w="4042" w:type="pct"/>
            <w:vAlign w:val="center"/>
          </w:tcPr>
          <w:p w14:paraId="29169A72"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Peinture ou vernissage au pistolet ;</w:t>
            </w:r>
          </w:p>
        </w:tc>
        <w:tc>
          <w:tcPr>
            <w:tcW w:w="479" w:type="pct"/>
            <w:vAlign w:val="center"/>
          </w:tcPr>
          <w:p w14:paraId="632FC707"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3AF3398D"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EEB2188" w14:textId="77777777" w:rsidTr="00456F91">
        <w:trPr>
          <w:tblCellSpacing w:w="0" w:type="dxa"/>
          <w:jc w:val="center"/>
        </w:trPr>
        <w:tc>
          <w:tcPr>
            <w:tcW w:w="4042" w:type="pct"/>
            <w:vAlign w:val="center"/>
          </w:tcPr>
          <w:p w14:paraId="6054C2E6"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sur plates-formes suspendues ou échelles appuyées sur des câbles porteurs et échafaudage situés à une hauteur supérieure à 6 mètres ;</w:t>
            </w:r>
          </w:p>
        </w:tc>
        <w:tc>
          <w:tcPr>
            <w:tcW w:w="479" w:type="pct"/>
            <w:vAlign w:val="center"/>
          </w:tcPr>
          <w:p w14:paraId="2EC5E89E"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979C0EC"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1EC8018D" w14:textId="77777777" w:rsidTr="00456F91">
        <w:trPr>
          <w:tblCellSpacing w:w="0" w:type="dxa"/>
          <w:jc w:val="center"/>
        </w:trPr>
        <w:tc>
          <w:tcPr>
            <w:tcW w:w="4042" w:type="pct"/>
            <w:vAlign w:val="center"/>
          </w:tcPr>
          <w:p w14:paraId="2D724BBA"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plomberie ;</w:t>
            </w:r>
          </w:p>
        </w:tc>
        <w:tc>
          <w:tcPr>
            <w:tcW w:w="479" w:type="pct"/>
            <w:vAlign w:val="center"/>
          </w:tcPr>
          <w:p w14:paraId="14CFF8F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98DC4EA"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61B9B52" w14:textId="77777777" w:rsidTr="00456F91">
        <w:trPr>
          <w:tblCellSpacing w:w="0" w:type="dxa"/>
          <w:jc w:val="center"/>
        </w:trPr>
        <w:tc>
          <w:tcPr>
            <w:tcW w:w="4042" w:type="pct"/>
            <w:vAlign w:val="center"/>
          </w:tcPr>
          <w:p w14:paraId="79F04F11"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Utilisation de solvants (tels que tétrachlorure de carbone ou trichloréthylène) ;</w:t>
            </w:r>
          </w:p>
        </w:tc>
        <w:tc>
          <w:tcPr>
            <w:tcW w:w="479" w:type="pct"/>
            <w:vAlign w:val="center"/>
          </w:tcPr>
          <w:p w14:paraId="13163F02"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77BDEB5"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7F47CDC1" w14:textId="77777777" w:rsidTr="00456F91">
        <w:trPr>
          <w:tblCellSpacing w:w="0" w:type="dxa"/>
          <w:jc w:val="center"/>
        </w:trPr>
        <w:tc>
          <w:tcPr>
            <w:tcW w:w="4042" w:type="pct"/>
            <w:vAlign w:val="center"/>
          </w:tcPr>
          <w:p w14:paraId="2C228344"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sur toitures et marquises ;</w:t>
            </w:r>
          </w:p>
        </w:tc>
        <w:tc>
          <w:tcPr>
            <w:tcW w:w="479" w:type="pct"/>
            <w:vAlign w:val="center"/>
          </w:tcPr>
          <w:p w14:paraId="43127F73"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37B03E03"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3981ADEF" w14:textId="77777777" w:rsidTr="00456F91">
        <w:trPr>
          <w:tblCellSpacing w:w="0" w:type="dxa"/>
          <w:jc w:val="center"/>
        </w:trPr>
        <w:tc>
          <w:tcPr>
            <w:tcW w:w="4042" w:type="pct"/>
            <w:vAlign w:val="center"/>
          </w:tcPr>
          <w:p w14:paraId="00AD6F0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 xml:space="preserve">Travaux en permanence en </w:t>
            </w:r>
            <w:proofErr w:type="spellStart"/>
            <w:r w:rsidRPr="00537CA8">
              <w:rPr>
                <w:rFonts w:eastAsia="Times New Roman" w:cs="Arial"/>
                <w:color w:val="000000"/>
                <w:szCs w:val="20"/>
              </w:rPr>
              <w:t>soussol</w:t>
            </w:r>
            <w:proofErr w:type="spellEnd"/>
            <w:r w:rsidRPr="00537CA8">
              <w:rPr>
                <w:rFonts w:eastAsia="Times New Roman" w:cs="Arial"/>
                <w:color w:val="000000"/>
                <w:szCs w:val="20"/>
              </w:rPr>
              <w:t xml:space="preserve"> ;</w:t>
            </w:r>
          </w:p>
        </w:tc>
        <w:tc>
          <w:tcPr>
            <w:tcW w:w="479" w:type="pct"/>
            <w:vAlign w:val="center"/>
          </w:tcPr>
          <w:p w14:paraId="188A555D"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DF98C22"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6745FA67" w14:textId="77777777" w:rsidTr="00456F91">
        <w:trPr>
          <w:tblCellSpacing w:w="0" w:type="dxa"/>
          <w:jc w:val="center"/>
        </w:trPr>
        <w:tc>
          <w:tcPr>
            <w:tcW w:w="4042" w:type="pct"/>
            <w:vAlign w:val="center"/>
          </w:tcPr>
          <w:p w14:paraId="3EFA8726"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en égouts, tranchées boueuses ou inondées, regards, chambres de vannes ou aqueducs autres que ceux considérés comme exigus ou particulièrement insalubres ou dangereux ;</w:t>
            </w:r>
          </w:p>
        </w:tc>
        <w:tc>
          <w:tcPr>
            <w:tcW w:w="479" w:type="pct"/>
            <w:vAlign w:val="center"/>
          </w:tcPr>
          <w:p w14:paraId="2C1F8C61"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1593B55"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06ED1034" w14:textId="77777777" w:rsidTr="00456F91">
        <w:trPr>
          <w:tblCellSpacing w:w="0" w:type="dxa"/>
          <w:jc w:val="center"/>
        </w:trPr>
        <w:tc>
          <w:tcPr>
            <w:tcW w:w="4042" w:type="pct"/>
            <w:vAlign w:val="center"/>
          </w:tcPr>
          <w:p w14:paraId="02A4290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Emploi de produits toxiques pour le traitement antiparasitaire des végétaux ;</w:t>
            </w:r>
          </w:p>
        </w:tc>
        <w:tc>
          <w:tcPr>
            <w:tcW w:w="479" w:type="pct"/>
            <w:vAlign w:val="center"/>
          </w:tcPr>
          <w:p w14:paraId="6EC76CDA"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3A7C993"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5242A828" w14:textId="77777777" w:rsidTr="00456F91">
        <w:trPr>
          <w:tblCellSpacing w:w="0" w:type="dxa"/>
          <w:jc w:val="center"/>
        </w:trPr>
        <w:tc>
          <w:tcPr>
            <w:tcW w:w="4042" w:type="pct"/>
            <w:vAlign w:val="center"/>
          </w:tcPr>
          <w:p w14:paraId="4F9361D9"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exposant au risque de silicose ;</w:t>
            </w:r>
          </w:p>
        </w:tc>
        <w:tc>
          <w:tcPr>
            <w:tcW w:w="479" w:type="pct"/>
            <w:vAlign w:val="center"/>
          </w:tcPr>
          <w:p w14:paraId="641D9C32"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EFE0640"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F203D1F" w14:textId="77777777" w:rsidTr="00456F91">
        <w:trPr>
          <w:tblCellSpacing w:w="0" w:type="dxa"/>
          <w:jc w:val="center"/>
        </w:trPr>
        <w:tc>
          <w:tcPr>
            <w:tcW w:w="4042" w:type="pct"/>
            <w:vAlign w:val="center"/>
          </w:tcPr>
          <w:p w14:paraId="6239D761"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dans des puits de plus de 10 mètres de profondeur ;</w:t>
            </w:r>
          </w:p>
        </w:tc>
        <w:tc>
          <w:tcPr>
            <w:tcW w:w="479" w:type="pct"/>
            <w:vAlign w:val="center"/>
          </w:tcPr>
          <w:p w14:paraId="60087DB3"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0CB3796"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7C13D77F" w14:textId="77777777" w:rsidTr="00456F91">
        <w:trPr>
          <w:tblCellSpacing w:w="0" w:type="dxa"/>
          <w:jc w:val="center"/>
        </w:trPr>
        <w:tc>
          <w:tcPr>
            <w:tcW w:w="4042" w:type="pct"/>
            <w:vAlign w:val="center"/>
          </w:tcPr>
          <w:p w14:paraId="22D5C0FB"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Contrôle de peinture ;</w:t>
            </w:r>
          </w:p>
        </w:tc>
        <w:tc>
          <w:tcPr>
            <w:tcW w:w="479" w:type="pct"/>
            <w:vAlign w:val="center"/>
          </w:tcPr>
          <w:p w14:paraId="7D59142D"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D680EFD"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3A4C1761" w14:textId="77777777" w:rsidTr="00456F91">
        <w:trPr>
          <w:tblCellSpacing w:w="0" w:type="dxa"/>
          <w:jc w:val="center"/>
        </w:trPr>
        <w:tc>
          <w:tcPr>
            <w:tcW w:w="4042" w:type="pct"/>
            <w:vAlign w:val="center"/>
          </w:tcPr>
          <w:p w14:paraId="203F304E"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surveillance d’ouvrages d’art nécessitant l’utilisation d’échafaudages ou de dispositifs suspendus ;</w:t>
            </w:r>
          </w:p>
        </w:tc>
        <w:tc>
          <w:tcPr>
            <w:tcW w:w="479" w:type="pct"/>
            <w:vAlign w:val="center"/>
          </w:tcPr>
          <w:p w14:paraId="332CDBE8"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AFD1644"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F1DC83D" w14:textId="77777777" w:rsidTr="00456F91">
        <w:trPr>
          <w:tblCellSpacing w:w="0" w:type="dxa"/>
          <w:jc w:val="center"/>
        </w:trPr>
        <w:tc>
          <w:tcPr>
            <w:tcW w:w="4042" w:type="pct"/>
            <w:vAlign w:val="center"/>
          </w:tcPr>
          <w:p w14:paraId="1429B490"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surveillance d’ouvrages d’art nécessitant l’utilisation d’échafaudages ou de dispositifs suspendus ;</w:t>
            </w:r>
          </w:p>
        </w:tc>
        <w:tc>
          <w:tcPr>
            <w:tcW w:w="479" w:type="pct"/>
            <w:vAlign w:val="center"/>
          </w:tcPr>
          <w:p w14:paraId="1F00C75D"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BED0676"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678A7803" w14:textId="77777777" w:rsidTr="00456F91">
        <w:trPr>
          <w:tblCellSpacing w:w="0" w:type="dxa"/>
          <w:jc w:val="center"/>
        </w:trPr>
        <w:tc>
          <w:tcPr>
            <w:tcW w:w="4042" w:type="pct"/>
            <w:vAlign w:val="center"/>
          </w:tcPr>
          <w:p w14:paraId="4497B13D"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laboratoire ou de contrôle sur chantier nécessitant l’emploi de produits chimiques corrosifs ou toxiques ou nocifs ;</w:t>
            </w:r>
          </w:p>
        </w:tc>
        <w:tc>
          <w:tcPr>
            <w:tcW w:w="479" w:type="pct"/>
            <w:vAlign w:val="center"/>
          </w:tcPr>
          <w:p w14:paraId="0A774C47"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1DB5EE7A"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1CA1DF2" w14:textId="77777777" w:rsidTr="00456F91">
        <w:trPr>
          <w:tblCellSpacing w:w="0" w:type="dxa"/>
          <w:jc w:val="center"/>
        </w:trPr>
        <w:tc>
          <w:tcPr>
            <w:tcW w:w="4042" w:type="pct"/>
            <w:vAlign w:val="center"/>
          </w:tcPr>
          <w:p w14:paraId="462B060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décollage des casques d’éprouvettes de traction ;</w:t>
            </w:r>
          </w:p>
        </w:tc>
        <w:tc>
          <w:tcPr>
            <w:tcW w:w="479" w:type="pct"/>
            <w:vAlign w:val="center"/>
          </w:tcPr>
          <w:p w14:paraId="7B93D6F8"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1AAD569"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10183585" w14:textId="77777777" w:rsidTr="00456F91">
        <w:trPr>
          <w:tblCellSpacing w:w="0" w:type="dxa"/>
          <w:jc w:val="center"/>
        </w:trPr>
        <w:tc>
          <w:tcPr>
            <w:tcW w:w="4042" w:type="pct"/>
            <w:vAlign w:val="center"/>
          </w:tcPr>
          <w:p w14:paraId="01EBB00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effectués en toiture, en façade d’immeuble ou sur des poteaux et pylônes, à une hauteur supérieure à six mères ;</w:t>
            </w:r>
          </w:p>
        </w:tc>
        <w:tc>
          <w:tcPr>
            <w:tcW w:w="479" w:type="pct"/>
            <w:vAlign w:val="center"/>
          </w:tcPr>
          <w:p w14:paraId="49CD7BC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6B1141DA"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5600C330" w14:textId="77777777" w:rsidTr="00456F91">
        <w:trPr>
          <w:tblCellSpacing w:w="0" w:type="dxa"/>
          <w:jc w:val="center"/>
        </w:trPr>
        <w:tc>
          <w:tcPr>
            <w:tcW w:w="4042" w:type="pct"/>
            <w:vAlign w:val="center"/>
          </w:tcPr>
          <w:p w14:paraId="0BC9E365"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menuiserie à la toupie sans guide ;</w:t>
            </w:r>
          </w:p>
        </w:tc>
        <w:tc>
          <w:tcPr>
            <w:tcW w:w="479" w:type="pct"/>
            <w:vAlign w:val="center"/>
          </w:tcPr>
          <w:p w14:paraId="5B255662"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26FCC63"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5F7F9442" w14:textId="77777777" w:rsidTr="00456F91">
        <w:trPr>
          <w:tblCellSpacing w:w="0" w:type="dxa"/>
          <w:jc w:val="center"/>
        </w:trPr>
        <w:tc>
          <w:tcPr>
            <w:tcW w:w="4042" w:type="pct"/>
            <w:vAlign w:val="center"/>
          </w:tcPr>
          <w:p w14:paraId="764CDE61"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Décapage aux acides et soudure à l’arc (travaux de) ;</w:t>
            </w:r>
          </w:p>
        </w:tc>
        <w:tc>
          <w:tcPr>
            <w:tcW w:w="479" w:type="pct"/>
            <w:vAlign w:val="center"/>
          </w:tcPr>
          <w:p w14:paraId="7DFC163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AEC1F74"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22D0E36A" w14:textId="77777777" w:rsidTr="00456F91">
        <w:trPr>
          <w:tblCellSpacing w:w="0" w:type="dxa"/>
          <w:jc w:val="center"/>
        </w:trPr>
        <w:tc>
          <w:tcPr>
            <w:tcW w:w="4042" w:type="pct"/>
            <w:vAlign w:val="center"/>
          </w:tcPr>
          <w:p w14:paraId="3C679021"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Manipulation à la main de masses lourdes (bacs à matériaux, extractions-malaxage, éprouvettes béton...)</w:t>
            </w:r>
          </w:p>
        </w:tc>
        <w:tc>
          <w:tcPr>
            <w:tcW w:w="479" w:type="pct"/>
            <w:vAlign w:val="center"/>
          </w:tcPr>
          <w:p w14:paraId="6C1107E5"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6468C816"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21AF56DE" w14:textId="77777777" w:rsidTr="00456F91">
        <w:trPr>
          <w:tblCellSpacing w:w="0" w:type="dxa"/>
          <w:jc w:val="center"/>
        </w:trPr>
        <w:tc>
          <w:tcPr>
            <w:tcW w:w="4042" w:type="pct"/>
            <w:vAlign w:val="center"/>
          </w:tcPr>
          <w:p w14:paraId="42B110CE"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Peinture et vernissage au pistolet</w:t>
            </w:r>
          </w:p>
        </w:tc>
        <w:tc>
          <w:tcPr>
            <w:tcW w:w="479" w:type="pct"/>
            <w:vAlign w:val="center"/>
          </w:tcPr>
          <w:p w14:paraId="1DDE8AA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D78E327"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46E3C55C" w14:textId="77777777" w:rsidTr="00456F91">
        <w:trPr>
          <w:tblCellSpacing w:w="0" w:type="dxa"/>
          <w:jc w:val="center"/>
        </w:trPr>
        <w:tc>
          <w:tcPr>
            <w:tcW w:w="4042" w:type="pct"/>
            <w:vAlign w:val="center"/>
          </w:tcPr>
          <w:p w14:paraId="5EA43453"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Soudure à l'arc ou aux gaz</w:t>
            </w:r>
          </w:p>
        </w:tc>
        <w:tc>
          <w:tcPr>
            <w:tcW w:w="479" w:type="pct"/>
            <w:vAlign w:val="center"/>
          </w:tcPr>
          <w:p w14:paraId="5C783E66"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BFEBEA0"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70A447E0" w14:textId="77777777" w:rsidTr="00456F91">
        <w:trPr>
          <w:tblCellSpacing w:w="0" w:type="dxa"/>
          <w:jc w:val="center"/>
        </w:trPr>
        <w:tc>
          <w:tcPr>
            <w:tcW w:w="4042" w:type="pct"/>
            <w:vAlign w:val="center"/>
          </w:tcPr>
          <w:p w14:paraId="2B172DF8"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lastRenderedPageBreak/>
              <w:t>Travaux de chaudronnerie (cisaillage, cintrage, tournage, mortaisage, perçage, fraisage, pliage, alésage)</w:t>
            </w:r>
          </w:p>
        </w:tc>
        <w:tc>
          <w:tcPr>
            <w:tcW w:w="479" w:type="pct"/>
            <w:vAlign w:val="center"/>
          </w:tcPr>
          <w:p w14:paraId="334B4AE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6A844DA9"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3599D041" w14:textId="77777777" w:rsidTr="00456F91">
        <w:trPr>
          <w:tblCellSpacing w:w="0" w:type="dxa"/>
          <w:jc w:val="center"/>
        </w:trPr>
        <w:tc>
          <w:tcPr>
            <w:tcW w:w="4042" w:type="pct"/>
            <w:vAlign w:val="center"/>
          </w:tcPr>
          <w:p w14:paraId="69664366"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Travaux de meulage</w:t>
            </w:r>
          </w:p>
        </w:tc>
        <w:tc>
          <w:tcPr>
            <w:tcW w:w="479" w:type="pct"/>
            <w:vAlign w:val="center"/>
          </w:tcPr>
          <w:p w14:paraId="133496F8"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639065AF"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0A693B8B" w14:textId="77777777" w:rsidTr="00456F91">
        <w:trPr>
          <w:tblCellSpacing w:w="0" w:type="dxa"/>
          <w:jc w:val="center"/>
        </w:trPr>
        <w:tc>
          <w:tcPr>
            <w:tcW w:w="4042" w:type="pct"/>
            <w:vAlign w:val="center"/>
          </w:tcPr>
          <w:p w14:paraId="68D713BE"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Travaux d'oxycoupage</w:t>
            </w:r>
          </w:p>
        </w:tc>
        <w:tc>
          <w:tcPr>
            <w:tcW w:w="479" w:type="pct"/>
            <w:vAlign w:val="center"/>
          </w:tcPr>
          <w:p w14:paraId="1E1D60D4"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681861B5" w14:textId="77777777" w:rsidR="00537CA8" w:rsidRPr="00537CA8" w:rsidRDefault="00537CA8" w:rsidP="00537CA8">
            <w:pPr>
              <w:jc w:val="center"/>
              <w:rPr>
                <w:rFonts w:eastAsia="Times New Roman" w:cs="Arial"/>
                <w:szCs w:val="20"/>
              </w:rPr>
            </w:pPr>
            <w:r w:rsidRPr="00537CA8">
              <w:rPr>
                <w:rFonts w:eastAsia="Times New Roman" w:cs="Arial"/>
                <w:szCs w:val="20"/>
              </w:rPr>
              <w:t>0,52</w:t>
            </w:r>
          </w:p>
        </w:tc>
      </w:tr>
      <w:tr w:rsidR="00537CA8" w:rsidRPr="00537CA8" w14:paraId="09A8A627" w14:textId="77777777" w:rsidTr="00456F91">
        <w:trPr>
          <w:tblCellSpacing w:w="0" w:type="dxa"/>
          <w:jc w:val="center"/>
        </w:trPr>
        <w:tc>
          <w:tcPr>
            <w:tcW w:w="4042" w:type="pct"/>
            <w:vAlign w:val="center"/>
          </w:tcPr>
          <w:p w14:paraId="021DEE5C" w14:textId="77777777" w:rsidR="00537CA8" w:rsidRPr="00537CA8" w:rsidRDefault="00537CA8" w:rsidP="00537CA8">
            <w:pPr>
              <w:ind w:left="567" w:right="284"/>
              <w:rPr>
                <w:rFonts w:eastAsia="Times New Roman" w:cs="Arial"/>
                <w:color w:val="000000"/>
                <w:szCs w:val="20"/>
              </w:rPr>
            </w:pPr>
            <w:r w:rsidRPr="00537CA8">
              <w:rPr>
                <w:rFonts w:eastAsia="Times New Roman" w:cs="Arial"/>
                <w:color w:val="000000"/>
                <w:szCs w:val="20"/>
              </w:rPr>
              <w:t> </w:t>
            </w:r>
          </w:p>
        </w:tc>
        <w:tc>
          <w:tcPr>
            <w:tcW w:w="479" w:type="pct"/>
            <w:vAlign w:val="center"/>
          </w:tcPr>
          <w:p w14:paraId="514DEF00" w14:textId="77777777" w:rsidR="00537CA8" w:rsidRPr="00537CA8" w:rsidRDefault="00537CA8" w:rsidP="00537CA8">
            <w:pPr>
              <w:jc w:val="center"/>
              <w:rPr>
                <w:rFonts w:eastAsia="Times New Roman" w:cs="Arial"/>
                <w:szCs w:val="20"/>
              </w:rPr>
            </w:pPr>
            <w:r w:rsidRPr="00537CA8">
              <w:rPr>
                <w:rFonts w:eastAsia="Times New Roman" w:cs="Arial"/>
                <w:szCs w:val="20"/>
              </w:rPr>
              <w:t> </w:t>
            </w:r>
          </w:p>
        </w:tc>
        <w:tc>
          <w:tcPr>
            <w:tcW w:w="479" w:type="pct"/>
            <w:vAlign w:val="center"/>
          </w:tcPr>
          <w:p w14:paraId="35D6B9F4" w14:textId="77777777" w:rsidR="00537CA8" w:rsidRPr="00537CA8" w:rsidRDefault="00537CA8" w:rsidP="00537CA8">
            <w:pPr>
              <w:jc w:val="center"/>
              <w:rPr>
                <w:rFonts w:eastAsia="Times New Roman" w:cs="Arial"/>
                <w:szCs w:val="20"/>
              </w:rPr>
            </w:pPr>
            <w:r w:rsidRPr="00537CA8">
              <w:rPr>
                <w:rFonts w:eastAsia="Times New Roman" w:cs="Arial"/>
                <w:szCs w:val="20"/>
              </w:rPr>
              <w:t> </w:t>
            </w:r>
          </w:p>
        </w:tc>
      </w:tr>
      <w:tr w:rsidR="00537CA8" w:rsidRPr="00537CA8" w14:paraId="6FBD308C" w14:textId="77777777" w:rsidTr="00537CA8">
        <w:trPr>
          <w:tblCellSpacing w:w="0" w:type="dxa"/>
          <w:jc w:val="center"/>
        </w:trPr>
        <w:tc>
          <w:tcPr>
            <w:tcW w:w="4042" w:type="pct"/>
            <w:shd w:val="clear" w:color="auto" w:fill="86C0C9" w:themeFill="accent3"/>
            <w:vAlign w:val="center"/>
          </w:tcPr>
          <w:p w14:paraId="25FAD7D9" w14:textId="77777777" w:rsidR="00537CA8" w:rsidRPr="00537CA8" w:rsidRDefault="00537CA8" w:rsidP="00537CA8">
            <w:pPr>
              <w:ind w:left="127" w:right="284"/>
              <w:rPr>
                <w:rFonts w:eastAsia="Times New Roman" w:cs="Arial"/>
                <w:b/>
                <w:color w:val="000000"/>
                <w:szCs w:val="20"/>
              </w:rPr>
            </w:pPr>
            <w:r w:rsidRPr="00537CA8">
              <w:rPr>
                <w:rFonts w:eastAsia="Times New Roman" w:cs="Arial"/>
                <w:b/>
                <w:color w:val="000000"/>
                <w:szCs w:val="20"/>
              </w:rPr>
              <w:t xml:space="preserve">Catégorie II : </w:t>
            </w:r>
          </w:p>
          <w:p w14:paraId="233763B8" w14:textId="77777777" w:rsidR="00537CA8" w:rsidRPr="00537CA8" w:rsidRDefault="00537CA8" w:rsidP="00537CA8">
            <w:pPr>
              <w:ind w:left="127" w:right="284"/>
              <w:rPr>
                <w:rFonts w:eastAsia="Times New Roman" w:cs="Arial"/>
                <w:b/>
                <w:color w:val="000000"/>
                <w:szCs w:val="20"/>
              </w:rPr>
            </w:pPr>
            <w:r w:rsidRPr="00537CA8">
              <w:rPr>
                <w:rFonts w:eastAsia="Times New Roman" w:cs="Arial"/>
                <w:b/>
                <w:color w:val="000000"/>
                <w:szCs w:val="20"/>
              </w:rPr>
              <w:t>Travaux présentant des risque d’intoxication ou de contamination</w:t>
            </w:r>
          </w:p>
        </w:tc>
        <w:tc>
          <w:tcPr>
            <w:tcW w:w="479" w:type="pct"/>
            <w:shd w:val="clear" w:color="auto" w:fill="86C0C9" w:themeFill="accent3"/>
            <w:vAlign w:val="center"/>
          </w:tcPr>
          <w:p w14:paraId="1EF9530D" w14:textId="77777777" w:rsidR="00537CA8" w:rsidRPr="00537CA8" w:rsidRDefault="00537CA8" w:rsidP="00537CA8">
            <w:pPr>
              <w:jc w:val="center"/>
              <w:rPr>
                <w:rFonts w:eastAsia="Times New Roman" w:cs="Arial"/>
                <w:b/>
                <w:szCs w:val="20"/>
              </w:rPr>
            </w:pPr>
          </w:p>
        </w:tc>
        <w:tc>
          <w:tcPr>
            <w:tcW w:w="479" w:type="pct"/>
            <w:shd w:val="clear" w:color="auto" w:fill="86C0C9" w:themeFill="accent3"/>
            <w:vAlign w:val="center"/>
          </w:tcPr>
          <w:p w14:paraId="5DF3DEF4" w14:textId="77777777" w:rsidR="00537CA8" w:rsidRPr="00537CA8" w:rsidRDefault="00537CA8" w:rsidP="00537CA8">
            <w:pPr>
              <w:jc w:val="center"/>
              <w:rPr>
                <w:rFonts w:eastAsia="Times New Roman" w:cs="Arial"/>
                <w:b/>
                <w:szCs w:val="20"/>
              </w:rPr>
            </w:pPr>
          </w:p>
        </w:tc>
      </w:tr>
      <w:tr w:rsidR="00537CA8" w:rsidRPr="00537CA8" w14:paraId="31A525D4" w14:textId="77777777" w:rsidTr="00456F91">
        <w:trPr>
          <w:tblCellSpacing w:w="0" w:type="dxa"/>
          <w:jc w:val="center"/>
        </w:trPr>
        <w:tc>
          <w:tcPr>
            <w:tcW w:w="4042" w:type="pct"/>
            <w:vAlign w:val="center"/>
          </w:tcPr>
          <w:p w14:paraId="47FC5901"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Surfaçage au souffre des éprouvettes de béton.</w:t>
            </w:r>
          </w:p>
        </w:tc>
        <w:tc>
          <w:tcPr>
            <w:tcW w:w="479" w:type="pct"/>
            <w:vAlign w:val="center"/>
          </w:tcPr>
          <w:p w14:paraId="36EF55CD"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16BB7C88" w14:textId="77777777" w:rsidR="00537CA8" w:rsidRPr="00537CA8" w:rsidRDefault="00537CA8" w:rsidP="00537CA8">
            <w:pPr>
              <w:jc w:val="center"/>
              <w:rPr>
                <w:rFonts w:eastAsia="Times New Roman" w:cs="Arial"/>
                <w:szCs w:val="20"/>
              </w:rPr>
            </w:pPr>
            <w:r w:rsidRPr="00537CA8">
              <w:rPr>
                <w:rFonts w:eastAsia="Times New Roman" w:cs="Arial"/>
                <w:szCs w:val="20"/>
              </w:rPr>
              <w:t>0,31</w:t>
            </w:r>
          </w:p>
        </w:tc>
      </w:tr>
      <w:tr w:rsidR="00537CA8" w:rsidRPr="00537CA8" w14:paraId="0B169B90" w14:textId="77777777" w:rsidTr="00456F91">
        <w:trPr>
          <w:tblCellSpacing w:w="0" w:type="dxa"/>
          <w:jc w:val="center"/>
        </w:trPr>
        <w:tc>
          <w:tcPr>
            <w:tcW w:w="4042" w:type="pct"/>
            <w:vAlign w:val="center"/>
          </w:tcPr>
          <w:p w14:paraId="27A9073D"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Utilisation de colles cellulosiques ;</w:t>
            </w:r>
          </w:p>
        </w:tc>
        <w:tc>
          <w:tcPr>
            <w:tcW w:w="479" w:type="pct"/>
            <w:vAlign w:val="center"/>
          </w:tcPr>
          <w:p w14:paraId="1A87851B"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C0A1D65"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0F2B4116" w14:textId="77777777" w:rsidTr="00456F91">
        <w:trPr>
          <w:tblCellSpacing w:w="0" w:type="dxa"/>
          <w:jc w:val="center"/>
        </w:trPr>
        <w:tc>
          <w:tcPr>
            <w:tcW w:w="4042" w:type="pct"/>
            <w:vAlign w:val="center"/>
          </w:tcPr>
          <w:p w14:paraId="7D5A9E0E"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laboratoire et d’imprimerie ;</w:t>
            </w:r>
          </w:p>
        </w:tc>
        <w:tc>
          <w:tcPr>
            <w:tcW w:w="479" w:type="pct"/>
            <w:vAlign w:val="center"/>
          </w:tcPr>
          <w:p w14:paraId="186E6883"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EAC32F1"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0F3DAA6D" w14:textId="77777777" w:rsidTr="00456F91">
        <w:trPr>
          <w:tblCellSpacing w:w="0" w:type="dxa"/>
          <w:jc w:val="center"/>
        </w:trPr>
        <w:tc>
          <w:tcPr>
            <w:tcW w:w="4042" w:type="pct"/>
            <w:vAlign w:val="center"/>
          </w:tcPr>
          <w:p w14:paraId="096CB44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Manipulation, transport ou destruction de documents d’archives en décomposition ;</w:t>
            </w:r>
          </w:p>
        </w:tc>
        <w:tc>
          <w:tcPr>
            <w:tcW w:w="479" w:type="pct"/>
            <w:vAlign w:val="center"/>
          </w:tcPr>
          <w:p w14:paraId="2A4D9024"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C9F8852"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5C337933" w14:textId="77777777" w:rsidTr="00456F91">
        <w:trPr>
          <w:tblCellSpacing w:w="0" w:type="dxa"/>
          <w:jc w:val="center"/>
        </w:trPr>
        <w:tc>
          <w:tcPr>
            <w:tcW w:w="4042" w:type="pct"/>
            <w:vAlign w:val="center"/>
          </w:tcPr>
          <w:p w14:paraId="4BBFDC28"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Préparation des plaques d’impression ;</w:t>
            </w:r>
          </w:p>
        </w:tc>
        <w:tc>
          <w:tcPr>
            <w:tcW w:w="479" w:type="pct"/>
            <w:vAlign w:val="center"/>
          </w:tcPr>
          <w:p w14:paraId="1A6DCC17"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13B54DE"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16E1FEB5" w14:textId="77777777" w:rsidTr="00456F91">
        <w:trPr>
          <w:tblCellSpacing w:w="0" w:type="dxa"/>
          <w:jc w:val="center"/>
        </w:trPr>
        <w:tc>
          <w:tcPr>
            <w:tcW w:w="4042" w:type="pct"/>
            <w:vAlign w:val="center"/>
          </w:tcPr>
          <w:p w14:paraId="3DBD8E58"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exécutés dans des locaux où sont fabriqués ou manipulés des produits susceptibles d’incommoder l’agent, de brûler ou de détériorer ses vêtements (produits chimiques, délétères, corrosifs, gras ou pulvérulents) ;</w:t>
            </w:r>
          </w:p>
        </w:tc>
        <w:tc>
          <w:tcPr>
            <w:tcW w:w="479" w:type="pct"/>
            <w:vAlign w:val="center"/>
          </w:tcPr>
          <w:p w14:paraId="2C0A8BBB"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2B9F3C88"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3B8989F0" w14:textId="77777777" w:rsidTr="00456F91">
        <w:trPr>
          <w:tblCellSpacing w:w="0" w:type="dxa"/>
          <w:jc w:val="center"/>
        </w:trPr>
        <w:tc>
          <w:tcPr>
            <w:tcW w:w="4042" w:type="pct"/>
            <w:vAlign w:val="center"/>
          </w:tcPr>
          <w:p w14:paraId="76F51C4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séchage et de calcination des boues (laboratoire d’analyse des eaux usées, station d’épuration, pollution) ;</w:t>
            </w:r>
          </w:p>
        </w:tc>
        <w:tc>
          <w:tcPr>
            <w:tcW w:w="479" w:type="pct"/>
            <w:vAlign w:val="center"/>
          </w:tcPr>
          <w:p w14:paraId="344B98CE"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331E0CA"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1D3D6900" w14:textId="77777777" w:rsidTr="00456F91">
        <w:trPr>
          <w:tblCellSpacing w:w="0" w:type="dxa"/>
          <w:jc w:val="center"/>
        </w:trPr>
        <w:tc>
          <w:tcPr>
            <w:tcW w:w="4042" w:type="pct"/>
            <w:vAlign w:val="center"/>
          </w:tcPr>
          <w:p w14:paraId="267D8CE3"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Prélèvement de résidus d’usine d’incinération ou de décharge ;</w:t>
            </w:r>
          </w:p>
        </w:tc>
        <w:tc>
          <w:tcPr>
            <w:tcW w:w="479" w:type="pct"/>
            <w:vAlign w:val="center"/>
          </w:tcPr>
          <w:p w14:paraId="3992ABFE"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ADD0CB5"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20913C70" w14:textId="77777777" w:rsidTr="00456F91">
        <w:trPr>
          <w:tblCellSpacing w:w="0" w:type="dxa"/>
          <w:jc w:val="center"/>
        </w:trPr>
        <w:tc>
          <w:tcPr>
            <w:tcW w:w="4042" w:type="pct"/>
            <w:vAlign w:val="center"/>
          </w:tcPr>
          <w:p w14:paraId="57F1F865"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d’entretien et de remise en état des batteries d’accumulateur ;</w:t>
            </w:r>
          </w:p>
        </w:tc>
        <w:tc>
          <w:tcPr>
            <w:tcW w:w="479" w:type="pct"/>
            <w:vAlign w:val="center"/>
          </w:tcPr>
          <w:p w14:paraId="78D31AE5"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5BBCC16"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684E0DE5" w14:textId="77777777" w:rsidTr="00456F91">
        <w:trPr>
          <w:tblCellSpacing w:w="0" w:type="dxa"/>
          <w:jc w:val="center"/>
        </w:trPr>
        <w:tc>
          <w:tcPr>
            <w:tcW w:w="4042" w:type="pct"/>
            <w:vAlign w:val="center"/>
          </w:tcPr>
          <w:p w14:paraId="7EC8635C"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Pulvérisation de lubrifiant de véhicules sous pont élévateur ;</w:t>
            </w:r>
          </w:p>
        </w:tc>
        <w:tc>
          <w:tcPr>
            <w:tcW w:w="479" w:type="pct"/>
            <w:vAlign w:val="center"/>
          </w:tcPr>
          <w:p w14:paraId="6898B5FB"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58A5E3C"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154384D9" w14:textId="77777777" w:rsidTr="00456F91">
        <w:trPr>
          <w:tblCellSpacing w:w="0" w:type="dxa"/>
          <w:jc w:val="center"/>
        </w:trPr>
        <w:tc>
          <w:tcPr>
            <w:tcW w:w="4042" w:type="pct"/>
            <w:vAlign w:val="center"/>
          </w:tcPr>
          <w:p w14:paraId="1577EBD3"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 xml:space="preserve">Travaux de remplissage d’avion-citerne avec des produits </w:t>
            </w:r>
            <w:proofErr w:type="spellStart"/>
            <w:r w:rsidRPr="00537CA8">
              <w:rPr>
                <w:rFonts w:eastAsia="Times New Roman" w:cs="Arial"/>
                <w:color w:val="000000"/>
                <w:szCs w:val="20"/>
              </w:rPr>
              <w:t>retardants</w:t>
            </w:r>
            <w:proofErr w:type="spellEnd"/>
            <w:r w:rsidRPr="00537CA8">
              <w:rPr>
                <w:rFonts w:eastAsia="Times New Roman" w:cs="Arial"/>
                <w:color w:val="000000"/>
                <w:szCs w:val="20"/>
              </w:rPr>
              <w:t>.</w:t>
            </w:r>
          </w:p>
        </w:tc>
        <w:tc>
          <w:tcPr>
            <w:tcW w:w="479" w:type="pct"/>
            <w:vAlign w:val="center"/>
          </w:tcPr>
          <w:p w14:paraId="349ECB21"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4AE383C9" w14:textId="77777777" w:rsidR="00537CA8" w:rsidRPr="00537CA8" w:rsidRDefault="00537CA8" w:rsidP="00537CA8">
            <w:pPr>
              <w:jc w:val="center"/>
              <w:rPr>
                <w:rFonts w:eastAsia="Times New Roman" w:cs="Arial"/>
                <w:szCs w:val="20"/>
              </w:rPr>
            </w:pPr>
            <w:r w:rsidRPr="00537CA8">
              <w:rPr>
                <w:rFonts w:eastAsia="Times New Roman" w:cs="Arial"/>
                <w:szCs w:val="20"/>
              </w:rPr>
              <w:t>0,16</w:t>
            </w:r>
          </w:p>
        </w:tc>
      </w:tr>
      <w:tr w:rsidR="00537CA8" w:rsidRPr="00537CA8" w14:paraId="66829A10" w14:textId="77777777" w:rsidTr="00456F91">
        <w:trPr>
          <w:tblCellSpacing w:w="0" w:type="dxa"/>
          <w:jc w:val="center"/>
        </w:trPr>
        <w:tc>
          <w:tcPr>
            <w:tcW w:w="4042" w:type="pct"/>
            <w:vAlign w:val="center"/>
          </w:tcPr>
          <w:p w14:paraId="5A4C2F9A" w14:textId="77777777" w:rsidR="00537CA8" w:rsidRPr="00537CA8" w:rsidRDefault="00537CA8" w:rsidP="00537CA8">
            <w:pPr>
              <w:ind w:left="567" w:right="284"/>
              <w:rPr>
                <w:rFonts w:eastAsia="Times New Roman" w:cs="Arial"/>
                <w:color w:val="000000"/>
                <w:szCs w:val="20"/>
              </w:rPr>
            </w:pPr>
            <w:r w:rsidRPr="00537CA8">
              <w:rPr>
                <w:rFonts w:eastAsia="Times New Roman" w:cs="Arial"/>
                <w:color w:val="000000"/>
                <w:szCs w:val="20"/>
              </w:rPr>
              <w:t> </w:t>
            </w:r>
          </w:p>
        </w:tc>
        <w:tc>
          <w:tcPr>
            <w:tcW w:w="479" w:type="pct"/>
            <w:vAlign w:val="center"/>
          </w:tcPr>
          <w:p w14:paraId="37CB1EAE" w14:textId="77777777" w:rsidR="00537CA8" w:rsidRPr="00537CA8" w:rsidRDefault="00537CA8" w:rsidP="00537CA8">
            <w:pPr>
              <w:jc w:val="center"/>
              <w:rPr>
                <w:rFonts w:eastAsia="Times New Roman" w:cs="Arial"/>
                <w:szCs w:val="20"/>
              </w:rPr>
            </w:pPr>
            <w:r w:rsidRPr="00537CA8">
              <w:rPr>
                <w:rFonts w:eastAsia="Times New Roman" w:cs="Arial"/>
                <w:szCs w:val="20"/>
              </w:rPr>
              <w:t> </w:t>
            </w:r>
          </w:p>
        </w:tc>
        <w:tc>
          <w:tcPr>
            <w:tcW w:w="479" w:type="pct"/>
            <w:vAlign w:val="center"/>
          </w:tcPr>
          <w:p w14:paraId="0664DD18" w14:textId="77777777" w:rsidR="00537CA8" w:rsidRPr="00537CA8" w:rsidRDefault="00537CA8" w:rsidP="00537CA8">
            <w:pPr>
              <w:jc w:val="center"/>
              <w:rPr>
                <w:rFonts w:eastAsia="Times New Roman" w:cs="Arial"/>
                <w:szCs w:val="20"/>
              </w:rPr>
            </w:pPr>
            <w:r w:rsidRPr="00537CA8">
              <w:rPr>
                <w:rFonts w:eastAsia="Times New Roman" w:cs="Arial"/>
                <w:szCs w:val="20"/>
              </w:rPr>
              <w:t> </w:t>
            </w:r>
          </w:p>
        </w:tc>
      </w:tr>
      <w:tr w:rsidR="00537CA8" w:rsidRPr="00537CA8" w14:paraId="25C3C937" w14:textId="77777777" w:rsidTr="00537CA8">
        <w:trPr>
          <w:tblCellSpacing w:w="0" w:type="dxa"/>
          <w:jc w:val="center"/>
        </w:trPr>
        <w:tc>
          <w:tcPr>
            <w:tcW w:w="4042" w:type="pct"/>
            <w:shd w:val="clear" w:color="auto" w:fill="86C0C9" w:themeFill="accent3"/>
            <w:vAlign w:val="center"/>
          </w:tcPr>
          <w:p w14:paraId="3B5D486E" w14:textId="77777777" w:rsidR="00537CA8" w:rsidRPr="00537CA8" w:rsidRDefault="00537CA8" w:rsidP="00537CA8">
            <w:pPr>
              <w:ind w:left="142" w:right="284"/>
              <w:rPr>
                <w:rFonts w:eastAsia="Times New Roman" w:cs="Arial"/>
                <w:b/>
                <w:color w:val="000000"/>
                <w:szCs w:val="20"/>
              </w:rPr>
            </w:pPr>
            <w:r w:rsidRPr="00537CA8">
              <w:rPr>
                <w:rFonts w:eastAsia="Times New Roman" w:cs="Arial"/>
                <w:b/>
                <w:color w:val="000000"/>
                <w:szCs w:val="20"/>
              </w:rPr>
              <w:t>Catégorie III :</w:t>
            </w:r>
          </w:p>
          <w:p w14:paraId="04B07E07" w14:textId="77777777" w:rsidR="00537CA8" w:rsidRPr="00537CA8" w:rsidRDefault="00537CA8" w:rsidP="00537CA8">
            <w:pPr>
              <w:ind w:left="142" w:right="284"/>
              <w:rPr>
                <w:rFonts w:eastAsia="Times New Roman" w:cs="Arial"/>
                <w:b/>
                <w:color w:val="000000"/>
                <w:szCs w:val="20"/>
              </w:rPr>
            </w:pPr>
            <w:r w:rsidRPr="00537CA8">
              <w:rPr>
                <w:rFonts w:eastAsia="Times New Roman" w:cs="Arial"/>
                <w:b/>
                <w:color w:val="000000"/>
                <w:szCs w:val="20"/>
              </w:rPr>
              <w:t>Travaux incommodes ou salissants</w:t>
            </w:r>
          </w:p>
        </w:tc>
        <w:tc>
          <w:tcPr>
            <w:tcW w:w="479" w:type="pct"/>
            <w:shd w:val="clear" w:color="auto" w:fill="86C0C9" w:themeFill="accent3"/>
            <w:vAlign w:val="center"/>
          </w:tcPr>
          <w:p w14:paraId="01DF92C3" w14:textId="77777777" w:rsidR="00537CA8" w:rsidRPr="00537CA8" w:rsidRDefault="00537CA8" w:rsidP="00537CA8">
            <w:pPr>
              <w:jc w:val="center"/>
              <w:rPr>
                <w:rFonts w:eastAsia="Times New Roman" w:cs="Arial"/>
                <w:b/>
                <w:szCs w:val="20"/>
              </w:rPr>
            </w:pPr>
          </w:p>
        </w:tc>
        <w:tc>
          <w:tcPr>
            <w:tcW w:w="479" w:type="pct"/>
            <w:shd w:val="clear" w:color="auto" w:fill="86C0C9" w:themeFill="accent3"/>
            <w:vAlign w:val="center"/>
          </w:tcPr>
          <w:p w14:paraId="790DE980" w14:textId="77777777" w:rsidR="00537CA8" w:rsidRPr="00537CA8" w:rsidRDefault="00537CA8" w:rsidP="00537CA8">
            <w:pPr>
              <w:jc w:val="center"/>
              <w:rPr>
                <w:rFonts w:eastAsia="Times New Roman" w:cs="Arial"/>
                <w:b/>
                <w:szCs w:val="20"/>
              </w:rPr>
            </w:pPr>
          </w:p>
        </w:tc>
      </w:tr>
      <w:tr w:rsidR="00537CA8" w:rsidRPr="00537CA8" w14:paraId="446FF73E" w14:textId="77777777" w:rsidTr="00456F91">
        <w:trPr>
          <w:tblCellSpacing w:w="0" w:type="dxa"/>
          <w:jc w:val="center"/>
        </w:trPr>
        <w:tc>
          <w:tcPr>
            <w:tcW w:w="4042" w:type="pct"/>
            <w:vAlign w:val="center"/>
          </w:tcPr>
          <w:p w14:paraId="630B1B2B"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Prélèvement d’eaux usées en station d’épuration ;</w:t>
            </w:r>
          </w:p>
        </w:tc>
        <w:tc>
          <w:tcPr>
            <w:tcW w:w="479" w:type="pct"/>
            <w:vAlign w:val="center"/>
          </w:tcPr>
          <w:p w14:paraId="3C1E38CE"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6E761E29" w14:textId="77777777" w:rsidR="00537CA8" w:rsidRPr="00537CA8" w:rsidRDefault="00537CA8" w:rsidP="00537CA8">
            <w:pPr>
              <w:jc w:val="center"/>
              <w:rPr>
                <w:rFonts w:eastAsia="Times New Roman" w:cs="Arial"/>
                <w:szCs w:val="20"/>
              </w:rPr>
            </w:pPr>
            <w:r w:rsidRPr="00537CA8">
              <w:rPr>
                <w:rFonts w:eastAsia="Times New Roman" w:cs="Arial"/>
                <w:szCs w:val="20"/>
              </w:rPr>
              <w:t>0,15</w:t>
            </w:r>
          </w:p>
        </w:tc>
      </w:tr>
      <w:tr w:rsidR="00537CA8" w:rsidRPr="00537CA8" w14:paraId="05FE1CBC" w14:textId="77777777" w:rsidTr="00456F91">
        <w:trPr>
          <w:tblCellSpacing w:w="0" w:type="dxa"/>
          <w:jc w:val="center"/>
        </w:trPr>
        <w:tc>
          <w:tcPr>
            <w:tcW w:w="4042" w:type="pct"/>
            <w:vAlign w:val="center"/>
          </w:tcPr>
          <w:p w14:paraId="166CD22E"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exécutés à l’intérieur de caissons ou voussoirs d’ouvrages d’art.</w:t>
            </w:r>
          </w:p>
        </w:tc>
        <w:tc>
          <w:tcPr>
            <w:tcW w:w="479" w:type="pct"/>
            <w:vAlign w:val="center"/>
          </w:tcPr>
          <w:p w14:paraId="67C7DB37" w14:textId="77777777" w:rsidR="00537CA8" w:rsidRPr="00537CA8" w:rsidRDefault="00537CA8" w:rsidP="00537CA8">
            <w:pPr>
              <w:jc w:val="center"/>
              <w:rPr>
                <w:rFonts w:eastAsia="Times New Roman" w:cs="Arial"/>
                <w:szCs w:val="20"/>
              </w:rPr>
            </w:pPr>
            <w:r w:rsidRPr="00537CA8">
              <w:rPr>
                <w:rFonts w:eastAsia="Times New Roman" w:cs="Arial"/>
                <w:szCs w:val="20"/>
              </w:rPr>
              <w:t>1 taux</w:t>
            </w:r>
          </w:p>
        </w:tc>
        <w:tc>
          <w:tcPr>
            <w:tcW w:w="479" w:type="pct"/>
            <w:vAlign w:val="center"/>
          </w:tcPr>
          <w:p w14:paraId="7931C922" w14:textId="77777777" w:rsidR="00537CA8" w:rsidRPr="00537CA8" w:rsidRDefault="00537CA8" w:rsidP="00537CA8">
            <w:pPr>
              <w:jc w:val="center"/>
              <w:rPr>
                <w:rFonts w:eastAsia="Times New Roman" w:cs="Arial"/>
                <w:szCs w:val="20"/>
              </w:rPr>
            </w:pPr>
            <w:r w:rsidRPr="00537CA8">
              <w:rPr>
                <w:rFonts w:eastAsia="Times New Roman" w:cs="Arial"/>
                <w:szCs w:val="20"/>
              </w:rPr>
              <w:t>0,15</w:t>
            </w:r>
          </w:p>
        </w:tc>
      </w:tr>
      <w:tr w:rsidR="00537CA8" w:rsidRPr="00537CA8" w14:paraId="42855C08" w14:textId="77777777" w:rsidTr="00456F91">
        <w:trPr>
          <w:tblCellSpacing w:w="0" w:type="dxa"/>
          <w:jc w:val="center"/>
        </w:trPr>
        <w:tc>
          <w:tcPr>
            <w:tcW w:w="4042" w:type="pct"/>
            <w:vAlign w:val="center"/>
          </w:tcPr>
          <w:p w14:paraId="00A103A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Conduite de machines assembleuses ;</w:t>
            </w:r>
          </w:p>
        </w:tc>
        <w:tc>
          <w:tcPr>
            <w:tcW w:w="479" w:type="pct"/>
            <w:vAlign w:val="center"/>
          </w:tcPr>
          <w:p w14:paraId="3C170A92"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AFD4D25"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7E4C0268" w14:textId="77777777" w:rsidTr="00456F91">
        <w:trPr>
          <w:tblCellSpacing w:w="0" w:type="dxa"/>
          <w:jc w:val="center"/>
        </w:trPr>
        <w:tc>
          <w:tcPr>
            <w:tcW w:w="4042" w:type="pct"/>
            <w:vAlign w:val="center"/>
          </w:tcPr>
          <w:p w14:paraId="112885B6"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 xml:space="preserve">Conduite et entretien des installations de chauffage central ou de chaudières </w:t>
            </w:r>
          </w:p>
        </w:tc>
        <w:tc>
          <w:tcPr>
            <w:tcW w:w="479" w:type="pct"/>
            <w:vAlign w:val="center"/>
          </w:tcPr>
          <w:p w14:paraId="5A9E52AF"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6D6ECED"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6F9CE1EB" w14:textId="77777777" w:rsidTr="00456F91">
        <w:trPr>
          <w:tblCellSpacing w:w="0" w:type="dxa"/>
          <w:jc w:val="center"/>
        </w:trPr>
        <w:tc>
          <w:tcPr>
            <w:tcW w:w="4042" w:type="pct"/>
            <w:vAlign w:val="center"/>
          </w:tcPr>
          <w:p w14:paraId="45054678"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Conduite de machines de reproduction de documents ;</w:t>
            </w:r>
          </w:p>
        </w:tc>
        <w:tc>
          <w:tcPr>
            <w:tcW w:w="479" w:type="pct"/>
            <w:vAlign w:val="center"/>
          </w:tcPr>
          <w:p w14:paraId="766D38A4"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722DD9E"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2E191A4F" w14:textId="77777777" w:rsidTr="00456F91">
        <w:trPr>
          <w:tblCellSpacing w:w="0" w:type="dxa"/>
          <w:jc w:val="center"/>
        </w:trPr>
        <w:tc>
          <w:tcPr>
            <w:tcW w:w="4042" w:type="pct"/>
            <w:vAlign w:val="center"/>
          </w:tcPr>
          <w:p w14:paraId="7093E74F"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ronéotypie ;</w:t>
            </w:r>
          </w:p>
        </w:tc>
        <w:tc>
          <w:tcPr>
            <w:tcW w:w="479" w:type="pct"/>
            <w:vAlign w:val="center"/>
          </w:tcPr>
          <w:p w14:paraId="751DB41D"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F93A477"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7266A5A8" w14:textId="77777777" w:rsidTr="00456F91">
        <w:trPr>
          <w:tblCellSpacing w:w="0" w:type="dxa"/>
          <w:jc w:val="center"/>
        </w:trPr>
        <w:tc>
          <w:tcPr>
            <w:tcW w:w="4042" w:type="pct"/>
            <w:vAlign w:val="center"/>
          </w:tcPr>
          <w:p w14:paraId="14132191"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Graissage et réparation de moteurs de véhicules automobiles ;</w:t>
            </w:r>
          </w:p>
        </w:tc>
        <w:tc>
          <w:tcPr>
            <w:tcW w:w="479" w:type="pct"/>
            <w:vAlign w:val="center"/>
          </w:tcPr>
          <w:p w14:paraId="3CFB7B7D"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16BD2CA6"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52EBA482" w14:textId="77777777" w:rsidTr="00456F91">
        <w:trPr>
          <w:tblCellSpacing w:w="0" w:type="dxa"/>
          <w:jc w:val="center"/>
        </w:trPr>
        <w:tc>
          <w:tcPr>
            <w:tcW w:w="4042" w:type="pct"/>
            <w:vAlign w:val="center"/>
          </w:tcPr>
          <w:p w14:paraId="66EE1790"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d’archivage et de dépoussiérage occasionnels ou particulièrement incommodes ;</w:t>
            </w:r>
          </w:p>
        </w:tc>
        <w:tc>
          <w:tcPr>
            <w:tcW w:w="479" w:type="pct"/>
            <w:vAlign w:val="center"/>
          </w:tcPr>
          <w:p w14:paraId="570AE121"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576B8574"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5E838E7B" w14:textId="77777777" w:rsidTr="00456F91">
        <w:trPr>
          <w:tblCellSpacing w:w="0" w:type="dxa"/>
          <w:jc w:val="center"/>
        </w:trPr>
        <w:tc>
          <w:tcPr>
            <w:tcW w:w="4042" w:type="pct"/>
            <w:vAlign w:val="center"/>
          </w:tcPr>
          <w:p w14:paraId="3512E240" w14:textId="77777777" w:rsidR="00537CA8" w:rsidRPr="00537CA8" w:rsidRDefault="00537CA8" w:rsidP="00537CA8">
            <w:pPr>
              <w:ind w:left="307" w:right="284"/>
              <w:rPr>
                <w:rFonts w:eastAsia="Times New Roman" w:cs="Arial"/>
                <w:color w:val="000000"/>
                <w:szCs w:val="20"/>
              </w:rPr>
            </w:pPr>
            <w:r w:rsidRPr="00537CA8">
              <w:rPr>
                <w:rFonts w:eastAsia="Times New Roman" w:cs="Arial"/>
                <w:color w:val="000000"/>
                <w:szCs w:val="20"/>
              </w:rPr>
              <w:t>Confection des couches ;</w:t>
            </w:r>
          </w:p>
        </w:tc>
        <w:tc>
          <w:tcPr>
            <w:tcW w:w="479" w:type="pct"/>
            <w:vAlign w:val="center"/>
          </w:tcPr>
          <w:p w14:paraId="307E6E9E"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7D66742B"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20A36301" w14:textId="77777777" w:rsidTr="00456F91">
        <w:trPr>
          <w:tblCellSpacing w:w="0" w:type="dxa"/>
          <w:jc w:val="center"/>
        </w:trPr>
        <w:tc>
          <w:tcPr>
            <w:tcW w:w="4042" w:type="pct"/>
            <w:vAlign w:val="center"/>
          </w:tcPr>
          <w:p w14:paraId="77FDDE12"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Préparation de matières colorantes ;</w:t>
            </w:r>
          </w:p>
        </w:tc>
        <w:tc>
          <w:tcPr>
            <w:tcW w:w="479" w:type="pct"/>
            <w:vAlign w:val="center"/>
          </w:tcPr>
          <w:p w14:paraId="613D4D20"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07C4B6BF"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r w:rsidR="00537CA8" w:rsidRPr="00537CA8" w14:paraId="0010BAF0" w14:textId="77777777" w:rsidTr="00456F91">
        <w:trPr>
          <w:tblCellSpacing w:w="0" w:type="dxa"/>
          <w:jc w:val="center"/>
        </w:trPr>
        <w:tc>
          <w:tcPr>
            <w:tcW w:w="4042" w:type="pct"/>
            <w:vAlign w:val="center"/>
          </w:tcPr>
          <w:p w14:paraId="3719D7E2" w14:textId="77777777" w:rsidR="00537CA8" w:rsidRPr="00537CA8" w:rsidRDefault="00537CA8" w:rsidP="00537CA8">
            <w:pPr>
              <w:spacing w:before="100" w:beforeAutospacing="1" w:after="100" w:afterAutospacing="1"/>
              <w:ind w:left="307" w:right="284"/>
              <w:rPr>
                <w:rFonts w:eastAsia="Times New Roman" w:cs="Arial"/>
                <w:color w:val="000000"/>
                <w:szCs w:val="20"/>
              </w:rPr>
            </w:pPr>
            <w:r w:rsidRPr="00537CA8">
              <w:rPr>
                <w:rFonts w:eastAsia="Times New Roman" w:cs="Arial"/>
                <w:color w:val="000000"/>
                <w:szCs w:val="20"/>
              </w:rPr>
              <w:t>Travaux de manutention en sous-sol.</w:t>
            </w:r>
          </w:p>
        </w:tc>
        <w:tc>
          <w:tcPr>
            <w:tcW w:w="479" w:type="pct"/>
            <w:vAlign w:val="center"/>
          </w:tcPr>
          <w:p w14:paraId="757BCD9E" w14:textId="77777777" w:rsidR="00537CA8" w:rsidRPr="00537CA8" w:rsidRDefault="00537CA8" w:rsidP="00537CA8">
            <w:pPr>
              <w:jc w:val="center"/>
              <w:rPr>
                <w:rFonts w:eastAsia="Times New Roman" w:cs="Arial"/>
                <w:szCs w:val="20"/>
              </w:rPr>
            </w:pPr>
            <w:r w:rsidRPr="00537CA8">
              <w:rPr>
                <w:rFonts w:eastAsia="Times New Roman" w:cs="Arial"/>
                <w:szCs w:val="20"/>
              </w:rPr>
              <w:t>1/2 taux</w:t>
            </w:r>
          </w:p>
        </w:tc>
        <w:tc>
          <w:tcPr>
            <w:tcW w:w="479" w:type="pct"/>
            <w:vAlign w:val="center"/>
          </w:tcPr>
          <w:p w14:paraId="298C2268" w14:textId="77777777" w:rsidR="00537CA8" w:rsidRPr="00537CA8" w:rsidRDefault="00537CA8" w:rsidP="00537CA8">
            <w:pPr>
              <w:jc w:val="center"/>
              <w:rPr>
                <w:rFonts w:eastAsia="Times New Roman" w:cs="Arial"/>
                <w:szCs w:val="20"/>
              </w:rPr>
            </w:pPr>
            <w:r w:rsidRPr="00537CA8">
              <w:rPr>
                <w:rFonts w:eastAsia="Times New Roman" w:cs="Arial"/>
                <w:szCs w:val="20"/>
              </w:rPr>
              <w:t>0,08</w:t>
            </w:r>
          </w:p>
        </w:tc>
      </w:tr>
    </w:tbl>
    <w:p w14:paraId="1CE043C9" w14:textId="77777777" w:rsidR="00537CA8" w:rsidRPr="00537CA8" w:rsidRDefault="00537CA8" w:rsidP="00537CA8">
      <w:pPr>
        <w:tabs>
          <w:tab w:val="left" w:pos="6480"/>
        </w:tabs>
        <w:jc w:val="left"/>
        <w:rPr>
          <w:rFonts w:ascii="Trebuchet MS" w:eastAsia="Times New Roman" w:hAnsi="Trebuchet MS" w:cs="Times New Roman"/>
          <w:sz w:val="22"/>
          <w:szCs w:val="24"/>
        </w:rPr>
      </w:pPr>
    </w:p>
    <w:p w14:paraId="5B8E5F84" w14:textId="77777777" w:rsidR="00835CFA" w:rsidRPr="002610C4" w:rsidRDefault="00835CFA">
      <w:pPr>
        <w:rPr>
          <w:rFonts w:cs="Arial"/>
          <w:i/>
          <w:color w:val="4DA0AD" w:themeColor="accent3" w:themeShade="BF"/>
          <w:szCs w:val="20"/>
        </w:rPr>
      </w:pP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514"/>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37CA8"/>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28F3"/>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065"/>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C7509"/>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3B6F"/>
    <w:rsid w:val="00C063FA"/>
    <w:rsid w:val="00C113D4"/>
    <w:rsid w:val="00C13B17"/>
    <w:rsid w:val="00C2477B"/>
    <w:rsid w:val="00C36D0F"/>
    <w:rsid w:val="00C40576"/>
    <w:rsid w:val="00C43EC7"/>
    <w:rsid w:val="00C6207F"/>
    <w:rsid w:val="00C70044"/>
    <w:rsid w:val="00C72EA0"/>
    <w:rsid w:val="00C93304"/>
    <w:rsid w:val="00C96062"/>
    <w:rsid w:val="00CA211B"/>
    <w:rsid w:val="00CA593C"/>
    <w:rsid w:val="00CB7C25"/>
    <w:rsid w:val="00CC0413"/>
    <w:rsid w:val="00CE2B0C"/>
    <w:rsid w:val="00CE4B64"/>
    <w:rsid w:val="00D201C4"/>
    <w:rsid w:val="00D5570A"/>
    <w:rsid w:val="00D63391"/>
    <w:rsid w:val="00D6654C"/>
    <w:rsid w:val="00D67514"/>
    <w:rsid w:val="00D77178"/>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24FCF"/>
    <w:rsid w:val="00E50685"/>
    <w:rsid w:val="00E55A38"/>
    <w:rsid w:val="00E643CA"/>
    <w:rsid w:val="00E662BE"/>
    <w:rsid w:val="00E7665C"/>
    <w:rsid w:val="00E9473F"/>
    <w:rsid w:val="00EA3277"/>
    <w:rsid w:val="00EC16C1"/>
    <w:rsid w:val="00EC3097"/>
    <w:rsid w:val="00EC5602"/>
    <w:rsid w:val="00ED6376"/>
    <w:rsid w:val="00EF17ED"/>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0C99"/>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8FAC3CE1-44AF-4FCA-AE4C-FE0B367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 w:type="paragraph" w:styleId="NormalWeb">
    <w:name w:val="Normal (Web)"/>
    <w:basedOn w:val="Normal"/>
    <w:uiPriority w:val="99"/>
    <w:rsid w:val="00537CA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EFCC-88BF-41EB-8A6E-8D5BEB93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1559</Words>
  <Characters>8576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6</cp:revision>
  <cp:lastPrinted>2020-03-10T16:34:00Z</cp:lastPrinted>
  <dcterms:created xsi:type="dcterms:W3CDTF">2021-03-26T08:59:00Z</dcterms:created>
  <dcterms:modified xsi:type="dcterms:W3CDTF">2022-02-28T15:37:00Z</dcterms:modified>
</cp:coreProperties>
</file>