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0EDFB166" w:rsidR="00585071" w:rsidRPr="00747422" w:rsidRDefault="00747422" w:rsidP="00585071">
      <w:pPr>
        <w:jc w:val="center"/>
        <w:rPr>
          <w:rFonts w:cs="Arial"/>
          <w:sz w:val="18"/>
          <w:szCs w:val="18"/>
        </w:rPr>
      </w:pPr>
      <w:r>
        <w:rPr>
          <w:rFonts w:cs="Arial"/>
          <w:sz w:val="18"/>
          <w:szCs w:val="18"/>
        </w:rPr>
        <w:t>Modèle à adapter</w:t>
      </w:r>
      <w:r w:rsidR="00FB6479">
        <w:rPr>
          <w:rFonts w:cs="Arial"/>
          <w:sz w:val="18"/>
          <w:szCs w:val="18"/>
        </w:rPr>
        <w:t xml:space="preserve"> n° 09-E-MOD1</w:t>
      </w:r>
      <w:r w:rsidR="005870A9" w:rsidRPr="00747422">
        <w:rPr>
          <w:rFonts w:cs="Arial"/>
          <w:sz w:val="18"/>
          <w:szCs w:val="18"/>
        </w:rPr>
        <w:t xml:space="preserve"> - </w:t>
      </w:r>
      <w:r w:rsidR="00585071" w:rsidRPr="00747422">
        <w:rPr>
          <w:rFonts w:cs="Arial"/>
          <w:sz w:val="18"/>
          <w:szCs w:val="18"/>
        </w:rPr>
        <w:t>CDG 53 – (</w:t>
      </w:r>
      <w:r w:rsidR="006039AF">
        <w:rPr>
          <w:rFonts w:cs="Arial"/>
          <w:color w:val="92D050"/>
          <w:sz w:val="18"/>
          <w:szCs w:val="18"/>
        </w:rPr>
        <w:t>septembre 2023</w:t>
      </w:r>
      <w:r w:rsidR="00585071" w:rsidRPr="00747422">
        <w:rPr>
          <w:rFonts w:cs="Arial"/>
          <w:sz w:val="18"/>
          <w:szCs w:val="18"/>
        </w:rPr>
        <w:t>)</w:t>
      </w:r>
    </w:p>
    <w:p w14:paraId="15748001" w14:textId="77777777" w:rsidR="007162E9"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4D759862" w14:textId="4E8FE5A3" w:rsidR="000464FE" w:rsidRDefault="002326C0"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portant modalités de remboursement des frais de déplacement du personnel</w:t>
      </w:r>
    </w:p>
    <w:p w14:paraId="597E9AAA" w14:textId="77777777" w:rsidR="002326C0" w:rsidRPr="000464FE" w:rsidRDefault="002326C0" w:rsidP="004658AC">
      <w:pPr>
        <w:pBdr>
          <w:top w:val="single" w:sz="4" w:space="1" w:color="auto"/>
          <w:left w:val="single" w:sz="4" w:space="4" w:color="auto"/>
          <w:bottom w:val="single" w:sz="4" w:space="1" w:color="auto"/>
          <w:right w:val="single" w:sz="4" w:space="4" w:color="auto"/>
        </w:pBdr>
        <w:jc w:val="center"/>
        <w:rPr>
          <w:rFonts w:cs="Arial"/>
          <w:b/>
          <w:sz w:val="22"/>
        </w:rPr>
      </w:pPr>
    </w:p>
    <w:p w14:paraId="35EEB1C6" w14:textId="77777777" w:rsidR="00B741A8" w:rsidRDefault="00B741A8" w:rsidP="00B741A8">
      <w:pPr>
        <w:rPr>
          <w:rFonts w:cs="Arial"/>
        </w:rPr>
      </w:pPr>
    </w:p>
    <w:p w14:paraId="672BFB5C" w14:textId="77777777" w:rsidR="00E643CA" w:rsidRPr="00737F7D" w:rsidRDefault="00E643CA" w:rsidP="00B741A8">
      <w:pPr>
        <w:rPr>
          <w:rFonts w:cs="Arial"/>
        </w:rPr>
      </w:pPr>
    </w:p>
    <w:p w14:paraId="1D56ECA3" w14:textId="082A4F3E" w:rsidR="00AA07CE" w:rsidRPr="00737F7D" w:rsidRDefault="00DD42E5" w:rsidP="00B741A8">
      <w:pPr>
        <w:rPr>
          <w:rFonts w:cs="Arial"/>
          <w:i/>
          <w:color w:val="4DA0AD" w:themeColor="accent3" w:themeShade="BF"/>
          <w:sz w:val="18"/>
          <w:szCs w:val="18"/>
        </w:rPr>
      </w:pPr>
      <w:r>
        <w:rPr>
          <w:rFonts w:cs="Arial"/>
          <w:i/>
          <w:sz w:val="18"/>
          <w:szCs w:val="18"/>
        </w:rPr>
        <w:t>Le C</w:t>
      </w:r>
      <w:r w:rsidR="007162E9" w:rsidRPr="00737F7D">
        <w:rPr>
          <w:rFonts w:cs="Arial"/>
          <w:i/>
          <w:sz w:val="18"/>
          <w:szCs w:val="18"/>
        </w:rPr>
        <w:t xml:space="preserve">onseil municipal </w:t>
      </w:r>
      <w:r w:rsidR="007162E9" w:rsidRPr="00AC040C">
        <w:rPr>
          <w:rFonts w:cs="Arial"/>
          <w:i/>
          <w:color w:val="86C0C9" w:themeColor="accent3"/>
          <w:sz w:val="18"/>
          <w:szCs w:val="18"/>
        </w:rPr>
        <w:t xml:space="preserve">(le </w:t>
      </w:r>
      <w:r>
        <w:rPr>
          <w:rFonts w:cs="Arial"/>
          <w:i/>
          <w:color w:val="86C0C9" w:themeColor="accent3"/>
          <w:sz w:val="18"/>
          <w:szCs w:val="18"/>
        </w:rPr>
        <w:t>C</w:t>
      </w:r>
      <w:r w:rsidR="007162E9" w:rsidRPr="00AC040C">
        <w:rPr>
          <w:rFonts w:cs="Arial"/>
          <w:i/>
          <w:color w:val="86C0C9" w:themeColor="accent3"/>
          <w:sz w:val="18"/>
          <w:szCs w:val="18"/>
        </w:rPr>
        <w:t>onseil d’administration)</w:t>
      </w:r>
    </w:p>
    <w:p w14:paraId="368470A1" w14:textId="77777777" w:rsidR="002326C0" w:rsidRPr="002326C0" w:rsidRDefault="002326C0" w:rsidP="002326C0">
      <w:pPr>
        <w:pStyle w:val="textecourant"/>
        <w:tabs>
          <w:tab w:val="left" w:pos="283"/>
        </w:tabs>
        <w:spacing w:before="57"/>
        <w:rPr>
          <w:i/>
        </w:rPr>
      </w:pPr>
    </w:p>
    <w:p w14:paraId="11E19C05" w14:textId="77777777" w:rsidR="002326C0" w:rsidRPr="002326C0" w:rsidRDefault="002326C0" w:rsidP="002326C0">
      <w:pPr>
        <w:pStyle w:val="textecourant"/>
        <w:tabs>
          <w:tab w:val="left" w:pos="283"/>
        </w:tabs>
        <w:spacing w:before="0" w:line="240" w:lineRule="auto"/>
        <w:rPr>
          <w:i/>
        </w:rPr>
      </w:pPr>
      <w:r w:rsidRPr="002326C0">
        <w:rPr>
          <w:i/>
        </w:rPr>
        <w:t>Vu le Code Général des Collectivités Territoriales,</w:t>
      </w:r>
    </w:p>
    <w:p w14:paraId="172B22E4" w14:textId="41ABB246" w:rsidR="002326C0" w:rsidRPr="002326C0" w:rsidRDefault="002326C0" w:rsidP="002326C0">
      <w:pPr>
        <w:pStyle w:val="textecourant"/>
        <w:tabs>
          <w:tab w:val="left" w:pos="283"/>
        </w:tabs>
        <w:spacing w:before="0" w:line="240" w:lineRule="auto"/>
        <w:rPr>
          <w:i/>
        </w:rPr>
      </w:pPr>
      <w:r w:rsidRPr="002326C0">
        <w:rPr>
          <w:i/>
        </w:rPr>
        <w:t>Vu le décret n°</w:t>
      </w:r>
      <w:r>
        <w:rPr>
          <w:i/>
        </w:rPr>
        <w:t xml:space="preserve"> </w:t>
      </w:r>
      <w:r w:rsidRPr="002326C0">
        <w:rPr>
          <w:i/>
        </w:rPr>
        <w:t xml:space="preserve">2001-654 du 19 juillet 2001 spécifique à la fonction publique territoriale modifié </w:t>
      </w:r>
    </w:p>
    <w:p w14:paraId="6CE64BB5" w14:textId="77777777" w:rsidR="002326C0" w:rsidRPr="002326C0" w:rsidRDefault="002326C0" w:rsidP="002326C0">
      <w:pPr>
        <w:pStyle w:val="textecourant"/>
        <w:tabs>
          <w:tab w:val="left" w:pos="283"/>
        </w:tabs>
        <w:spacing w:before="0" w:line="240" w:lineRule="auto"/>
        <w:rPr>
          <w:i/>
        </w:rPr>
      </w:pPr>
      <w:r w:rsidRPr="002326C0">
        <w:rPr>
          <w:i/>
        </w:rPr>
        <w:t>Vu le décret n° 2006-781 du 3 juillet 2006 fixant les conditions et les modalités de règlement des frais occasionnés par les déplacements temporaires des personnels civils de l'Etat modifié</w:t>
      </w:r>
    </w:p>
    <w:p w14:paraId="59F35883" w14:textId="7FDAEDB0" w:rsidR="002326C0" w:rsidRDefault="002326C0" w:rsidP="002326C0">
      <w:pPr>
        <w:pStyle w:val="textecourant"/>
        <w:tabs>
          <w:tab w:val="left" w:pos="283"/>
        </w:tabs>
        <w:spacing w:before="0" w:line="240" w:lineRule="auto"/>
        <w:rPr>
          <w:i/>
        </w:rPr>
      </w:pPr>
      <w:r w:rsidRPr="002326C0">
        <w:rPr>
          <w:i/>
        </w:rPr>
        <w:t>Vu les arrêtés ministériels en date du 3 juillet 2006 modifiés</w:t>
      </w:r>
    </w:p>
    <w:p w14:paraId="0CDD6EBA" w14:textId="21D10F10" w:rsidR="00C45751" w:rsidRPr="006039AF" w:rsidRDefault="00C45751" w:rsidP="002326C0">
      <w:pPr>
        <w:pStyle w:val="textecourant"/>
        <w:tabs>
          <w:tab w:val="left" w:pos="283"/>
        </w:tabs>
        <w:spacing w:before="0" w:line="240" w:lineRule="auto"/>
        <w:rPr>
          <w:i/>
          <w:color w:val="auto"/>
        </w:rPr>
      </w:pPr>
      <w:r w:rsidRPr="006039AF">
        <w:rPr>
          <w:i/>
          <w:color w:val="auto"/>
        </w:rPr>
        <w:t>Vu l’arrêté du 28 décembre 2020</w:t>
      </w:r>
    </w:p>
    <w:p w14:paraId="72E2F37B" w14:textId="77777777" w:rsidR="002326C0" w:rsidRDefault="002326C0" w:rsidP="002326C0">
      <w:pPr>
        <w:pStyle w:val="textecourant"/>
        <w:tabs>
          <w:tab w:val="left" w:pos="283"/>
        </w:tabs>
        <w:spacing w:before="0" w:line="240" w:lineRule="auto"/>
        <w:rPr>
          <w:i/>
        </w:rPr>
      </w:pPr>
    </w:p>
    <w:p w14:paraId="679779DF" w14:textId="77777777" w:rsidR="002326C0" w:rsidRPr="002326C0" w:rsidRDefault="002326C0" w:rsidP="002326C0">
      <w:pPr>
        <w:pStyle w:val="textecourant"/>
        <w:tabs>
          <w:tab w:val="left" w:pos="283"/>
        </w:tabs>
        <w:spacing w:before="0" w:line="240" w:lineRule="auto"/>
        <w:rPr>
          <w:i/>
        </w:rPr>
      </w:pPr>
      <w:r w:rsidRPr="002326C0">
        <w:rPr>
          <w:i/>
        </w:rPr>
        <w:t>Considérant que les agents territoriaux, peuvent prétendre, sous certaines conditions et dans certaines limites, à la prise en charge des frais suivants, lorsqu’ils ont été engagés à l’occasion d’un déplacement temporaire : frais de transport, frais de repas et frais d’hébergement, indemnisés la forme d’indemnités de mission ou d’indemnités de stage,</w:t>
      </w:r>
    </w:p>
    <w:p w14:paraId="392B4983" w14:textId="77777777" w:rsidR="002326C0" w:rsidRPr="002326C0" w:rsidRDefault="002326C0" w:rsidP="002326C0">
      <w:pPr>
        <w:pStyle w:val="textecourant"/>
        <w:tabs>
          <w:tab w:val="left" w:pos="283"/>
        </w:tabs>
        <w:spacing w:before="0" w:line="240" w:lineRule="auto"/>
        <w:rPr>
          <w:i/>
        </w:rPr>
      </w:pPr>
      <w:r w:rsidRPr="002326C0">
        <w:rPr>
          <w:i/>
        </w:rPr>
        <w:t>Considérant qu’il y a lieu de fixer différents taux conformément aux décrets cités-ci-dessus,</w:t>
      </w:r>
    </w:p>
    <w:p w14:paraId="4CAFF6D6" w14:textId="77777777" w:rsidR="002326C0" w:rsidRPr="002326C0" w:rsidRDefault="002326C0" w:rsidP="002326C0">
      <w:pPr>
        <w:pStyle w:val="textecourant"/>
        <w:tabs>
          <w:tab w:val="left" w:pos="283"/>
        </w:tabs>
        <w:spacing w:before="57"/>
        <w:rPr>
          <w:i/>
        </w:rPr>
      </w:pPr>
    </w:p>
    <w:p w14:paraId="41F7EECD" w14:textId="77777777" w:rsidR="000464FE" w:rsidRPr="000464FE" w:rsidRDefault="000464FE" w:rsidP="000464FE">
      <w:pPr>
        <w:rPr>
          <w:rFonts w:cs="Arial"/>
          <w:i/>
          <w:color w:val="000000"/>
          <w:sz w:val="18"/>
          <w:szCs w:val="20"/>
        </w:rPr>
      </w:pPr>
    </w:p>
    <w:p w14:paraId="5F910371" w14:textId="77777777" w:rsidR="000464FE" w:rsidRPr="000464FE" w:rsidRDefault="000464FE" w:rsidP="000464FE">
      <w:pPr>
        <w:rPr>
          <w:rFonts w:cs="Arial"/>
          <w:i/>
          <w:color w:val="000000"/>
          <w:sz w:val="18"/>
          <w:szCs w:val="20"/>
        </w:rPr>
      </w:pPr>
      <w:r w:rsidRPr="000464FE">
        <w:rPr>
          <w:rFonts w:cs="Arial"/>
          <w:i/>
          <w:color w:val="000000"/>
          <w:sz w:val="18"/>
          <w:szCs w:val="20"/>
        </w:rPr>
        <w:t>et après en avoir délibéré,</w:t>
      </w:r>
    </w:p>
    <w:p w14:paraId="50B41BEE" w14:textId="77777777" w:rsidR="00DA4149" w:rsidRDefault="00DA4149" w:rsidP="00565D14"/>
    <w:p w14:paraId="1DAF0190" w14:textId="77777777" w:rsidR="002326C0" w:rsidRPr="002D7670" w:rsidRDefault="002326C0" w:rsidP="00565D14"/>
    <w:p w14:paraId="3BF794C8" w14:textId="77777777" w:rsidR="002D7670" w:rsidRPr="002D7670" w:rsidRDefault="002D7670" w:rsidP="00565D14">
      <w:pPr>
        <w:rPr>
          <w:b/>
          <w:bCs/>
        </w:rPr>
      </w:pPr>
      <w:r w:rsidRPr="002D7670">
        <w:rPr>
          <w:b/>
          <w:bCs/>
          <w:u w:val="single"/>
        </w:rPr>
        <w:t>décide</w:t>
      </w:r>
      <w:r w:rsidRPr="002D7670">
        <w:rPr>
          <w:b/>
          <w:bCs/>
        </w:rPr>
        <w:t xml:space="preserve"> :</w:t>
      </w:r>
    </w:p>
    <w:p w14:paraId="241395BF" w14:textId="77777777" w:rsidR="002D7670" w:rsidRPr="002D7670" w:rsidRDefault="002D7670" w:rsidP="00565D14"/>
    <w:p w14:paraId="2D9B8E05" w14:textId="77777777" w:rsidR="002326C0" w:rsidRDefault="002326C0" w:rsidP="002326C0"/>
    <w:p w14:paraId="5DDBA0D1" w14:textId="77777777" w:rsidR="002326C0" w:rsidRPr="002326C0" w:rsidRDefault="002326C0" w:rsidP="002326C0"/>
    <w:p w14:paraId="43A433ED" w14:textId="77777777" w:rsidR="002326C0" w:rsidRPr="002326C0" w:rsidRDefault="002326C0" w:rsidP="002326C0">
      <w:pPr>
        <w:rPr>
          <w:b/>
          <w:bCs/>
          <w:u w:val="single"/>
        </w:rPr>
      </w:pPr>
      <w:r w:rsidRPr="002326C0">
        <w:rPr>
          <w:b/>
          <w:bCs/>
          <w:u w:val="single"/>
        </w:rPr>
        <w:t xml:space="preserve">Article 1 </w:t>
      </w:r>
      <w:r w:rsidRPr="002326C0">
        <w:rPr>
          <w:b/>
          <w:bCs/>
        </w:rPr>
        <w:t>: Fixation du tarif forfaitaire d’hébergement</w:t>
      </w:r>
    </w:p>
    <w:p w14:paraId="0D68EA56" w14:textId="77777777" w:rsidR="002326C0" w:rsidRPr="002326C0" w:rsidRDefault="002326C0" w:rsidP="002326C0"/>
    <w:p w14:paraId="0CF2938D" w14:textId="77777777" w:rsidR="002326C0" w:rsidRPr="002326C0" w:rsidRDefault="002326C0" w:rsidP="002326C0">
      <w:r w:rsidRPr="002326C0">
        <w:t>Les taux sont fixés comme suit :</w:t>
      </w:r>
    </w:p>
    <w:tbl>
      <w:tblPr>
        <w:tblW w:w="10206" w:type="dxa"/>
        <w:jc w:val="center"/>
        <w:tblCellMar>
          <w:left w:w="0" w:type="dxa"/>
          <w:right w:w="0" w:type="dxa"/>
        </w:tblCellMar>
        <w:tblLook w:val="04A0" w:firstRow="1" w:lastRow="0" w:firstColumn="1" w:lastColumn="0" w:noHBand="0" w:noVBand="1"/>
      </w:tblPr>
      <w:tblGrid>
        <w:gridCol w:w="1985"/>
        <w:gridCol w:w="1585"/>
        <w:gridCol w:w="1533"/>
        <w:gridCol w:w="1418"/>
        <w:gridCol w:w="1559"/>
        <w:gridCol w:w="2126"/>
      </w:tblGrid>
      <w:tr w:rsidR="002326C0" w:rsidRPr="002326C0" w14:paraId="630A3102" w14:textId="77777777" w:rsidTr="00E43896">
        <w:trPr>
          <w:trHeight w:val="795"/>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0F304D" w:themeFill="accent2"/>
            <w:tcMar>
              <w:top w:w="0" w:type="dxa"/>
              <w:left w:w="108" w:type="dxa"/>
              <w:bottom w:w="0" w:type="dxa"/>
              <w:right w:w="108" w:type="dxa"/>
            </w:tcMar>
            <w:vAlign w:val="center"/>
            <w:hideMark/>
          </w:tcPr>
          <w:p w14:paraId="51134570" w14:textId="77777777" w:rsidR="002326C0" w:rsidRPr="002326C0" w:rsidRDefault="002326C0" w:rsidP="002326C0">
            <w:r w:rsidRPr="002326C0">
              <w:rPr>
                <w:noProof/>
              </w:rPr>
              <mc:AlternateContent>
                <mc:Choice Requires="wps">
                  <w:drawing>
                    <wp:anchor distT="36576" distB="36576" distL="36576" distR="36576" simplePos="0" relativeHeight="251661312" behindDoc="0" locked="0" layoutInCell="1" allowOverlap="1" wp14:anchorId="27FFAAD2" wp14:editId="16490718">
                      <wp:simplePos x="0" y="0"/>
                      <wp:positionH relativeFrom="column">
                        <wp:posOffset>3814445</wp:posOffset>
                      </wp:positionH>
                      <wp:positionV relativeFrom="paragraph">
                        <wp:posOffset>5383530</wp:posOffset>
                      </wp:positionV>
                      <wp:extent cx="6731000" cy="775335"/>
                      <wp:effectExtent l="0" t="0"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31000" cy="7753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ED751" id="Rectangle 2" o:spid="_x0000_s1026" style="position:absolute;margin-left:300.35pt;margin-top:423.9pt;width:530pt;height:61.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vq4AIAAPI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" filled="f" stroked="f" insetpen="t">
                      <v:shadow color="#ccc"/>
                      <o:lock v:ext="edit" shapetype="t"/>
                      <v:textbox inset="0,0,0,0"/>
                    </v:rect>
                  </w:pict>
                </mc:Fallback>
              </mc:AlternateContent>
            </w:r>
            <w:r w:rsidRPr="002326C0">
              <w:t>Lieu de la mission</w:t>
            </w:r>
          </w:p>
        </w:tc>
        <w:tc>
          <w:tcPr>
            <w:tcW w:w="1585" w:type="dxa"/>
            <w:tcBorders>
              <w:top w:val="single" w:sz="8" w:space="0" w:color="000000"/>
              <w:left w:val="single" w:sz="8" w:space="0" w:color="000000"/>
              <w:bottom w:val="single" w:sz="8" w:space="0" w:color="000000"/>
              <w:right w:val="single" w:sz="8" w:space="0" w:color="000000"/>
            </w:tcBorders>
            <w:shd w:val="clear" w:color="auto" w:fill="0F304D" w:themeFill="accent2"/>
            <w:tcMar>
              <w:top w:w="0" w:type="dxa"/>
              <w:left w:w="108" w:type="dxa"/>
              <w:bottom w:w="0" w:type="dxa"/>
              <w:right w:w="108" w:type="dxa"/>
            </w:tcMar>
            <w:vAlign w:val="center"/>
            <w:hideMark/>
          </w:tcPr>
          <w:p w14:paraId="6B5BC2E2" w14:textId="77777777" w:rsidR="002326C0" w:rsidRPr="002326C0" w:rsidRDefault="002326C0" w:rsidP="002326C0">
            <w:pPr>
              <w:jc w:val="center"/>
            </w:pPr>
            <w:r w:rsidRPr="002326C0">
              <w:t xml:space="preserve">Commune de moins de 200 000 </w:t>
            </w:r>
            <w:proofErr w:type="spellStart"/>
            <w:r w:rsidRPr="002326C0">
              <w:t>hab</w:t>
            </w:r>
            <w:proofErr w:type="spellEnd"/>
          </w:p>
        </w:tc>
        <w:tc>
          <w:tcPr>
            <w:tcW w:w="1533" w:type="dxa"/>
            <w:tcBorders>
              <w:top w:val="single" w:sz="8" w:space="0" w:color="000000"/>
              <w:left w:val="single" w:sz="8" w:space="0" w:color="000000"/>
              <w:bottom w:val="single" w:sz="8" w:space="0" w:color="000000"/>
              <w:right w:val="single" w:sz="8" w:space="0" w:color="000000"/>
            </w:tcBorders>
            <w:shd w:val="clear" w:color="auto" w:fill="0F304D" w:themeFill="accent2"/>
            <w:tcMar>
              <w:top w:w="0" w:type="dxa"/>
              <w:left w:w="108" w:type="dxa"/>
              <w:bottom w:w="0" w:type="dxa"/>
              <w:right w:w="108" w:type="dxa"/>
            </w:tcMar>
            <w:vAlign w:val="center"/>
            <w:hideMark/>
          </w:tcPr>
          <w:p w14:paraId="3A505934" w14:textId="77777777" w:rsidR="002326C0" w:rsidRPr="002326C0" w:rsidRDefault="002326C0" w:rsidP="002326C0">
            <w:pPr>
              <w:jc w:val="center"/>
            </w:pPr>
            <w:r w:rsidRPr="002326C0">
              <w:t xml:space="preserve">Commune de plus de 200 000 </w:t>
            </w:r>
            <w:proofErr w:type="spellStart"/>
            <w:r w:rsidRPr="002326C0">
              <w:t>hab</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auto" w:fill="0F304D" w:themeFill="accent2"/>
            <w:tcMar>
              <w:top w:w="0" w:type="dxa"/>
              <w:left w:w="108" w:type="dxa"/>
              <w:bottom w:w="0" w:type="dxa"/>
              <w:right w:w="108" w:type="dxa"/>
            </w:tcMar>
            <w:vAlign w:val="center"/>
            <w:hideMark/>
          </w:tcPr>
          <w:p w14:paraId="377AF888" w14:textId="77777777" w:rsidR="002326C0" w:rsidRPr="002326C0" w:rsidRDefault="002326C0" w:rsidP="002326C0">
            <w:pPr>
              <w:jc w:val="center"/>
            </w:pPr>
            <w:r w:rsidRPr="002326C0">
              <w:t>Communes du Grand Paris*</w:t>
            </w:r>
          </w:p>
        </w:tc>
        <w:tc>
          <w:tcPr>
            <w:tcW w:w="1559" w:type="dxa"/>
            <w:tcBorders>
              <w:top w:val="single" w:sz="8" w:space="0" w:color="000000"/>
              <w:left w:val="single" w:sz="8" w:space="0" w:color="000000"/>
              <w:bottom w:val="single" w:sz="8" w:space="0" w:color="000000"/>
              <w:right w:val="single" w:sz="8" w:space="0" w:color="000000"/>
            </w:tcBorders>
            <w:shd w:val="clear" w:color="auto" w:fill="0F304D" w:themeFill="accent2"/>
            <w:tcMar>
              <w:top w:w="0" w:type="dxa"/>
              <w:left w:w="108" w:type="dxa"/>
              <w:bottom w:w="0" w:type="dxa"/>
              <w:right w:w="108" w:type="dxa"/>
            </w:tcMar>
            <w:vAlign w:val="center"/>
            <w:hideMark/>
          </w:tcPr>
          <w:p w14:paraId="039D4EAE" w14:textId="77777777" w:rsidR="002326C0" w:rsidRPr="002326C0" w:rsidRDefault="002326C0" w:rsidP="002326C0">
            <w:pPr>
              <w:jc w:val="center"/>
            </w:pPr>
            <w:r w:rsidRPr="002326C0">
              <w:t xml:space="preserve">Paris </w:t>
            </w:r>
            <w:proofErr w:type="spellStart"/>
            <w:r w:rsidRPr="002326C0">
              <w:t>Intra Muros</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0F304D" w:themeFill="accent2"/>
            <w:tcMar>
              <w:top w:w="0" w:type="dxa"/>
              <w:left w:w="108" w:type="dxa"/>
              <w:bottom w:w="0" w:type="dxa"/>
              <w:right w:w="108" w:type="dxa"/>
            </w:tcMar>
            <w:vAlign w:val="center"/>
            <w:hideMark/>
          </w:tcPr>
          <w:p w14:paraId="44E01173" w14:textId="77777777" w:rsidR="002326C0" w:rsidRPr="002326C0" w:rsidRDefault="002326C0" w:rsidP="002326C0">
            <w:pPr>
              <w:jc w:val="center"/>
            </w:pPr>
            <w:r w:rsidRPr="002326C0">
              <w:t>Agent reconnu travailleur handicapé ayant une mobilité réduite</w:t>
            </w:r>
          </w:p>
        </w:tc>
      </w:tr>
      <w:tr w:rsidR="00E43896" w:rsidRPr="002326C0" w14:paraId="59F5894F" w14:textId="77777777" w:rsidTr="00E43896">
        <w:trPr>
          <w:trHeight w:val="689"/>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C64A25" w:themeFill="accent1"/>
            <w:tcMar>
              <w:top w:w="0" w:type="dxa"/>
              <w:left w:w="108" w:type="dxa"/>
              <w:bottom w:w="0" w:type="dxa"/>
              <w:right w:w="108" w:type="dxa"/>
            </w:tcMar>
            <w:vAlign w:val="center"/>
            <w:hideMark/>
          </w:tcPr>
          <w:p w14:paraId="1906F777" w14:textId="77777777" w:rsidR="002326C0" w:rsidRPr="002326C0" w:rsidRDefault="002326C0" w:rsidP="002326C0">
            <w:r w:rsidRPr="002326C0">
              <w:rPr>
                <w:color w:val="FFFFFF" w:themeColor="background1"/>
              </w:rPr>
              <w:t>Taux incluant le petit déjeuner</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504CA0" w14:textId="3CB25DC3" w:rsidR="002326C0" w:rsidRPr="006039AF" w:rsidRDefault="006039AF" w:rsidP="002326C0">
            <w:pPr>
              <w:jc w:val="center"/>
              <w:rPr>
                <w:b/>
                <w:i/>
                <w:color w:val="92D050"/>
              </w:rPr>
            </w:pPr>
            <w:r w:rsidRPr="006039AF">
              <w:rPr>
                <w:b/>
                <w:bCs/>
                <w:i/>
                <w:color w:val="92D050"/>
              </w:rPr>
              <w:t>90</w:t>
            </w:r>
            <w:r w:rsidR="002326C0" w:rsidRPr="006039AF">
              <w:rPr>
                <w:b/>
                <w:bCs/>
                <w:i/>
                <w:color w:val="92D050"/>
              </w:rPr>
              <w:t xml:space="preserve"> €</w:t>
            </w:r>
          </w:p>
        </w:tc>
        <w:tc>
          <w:tcPr>
            <w:tcW w:w="1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98590A" w14:textId="584448A7" w:rsidR="002326C0" w:rsidRPr="006039AF" w:rsidRDefault="006039AF" w:rsidP="002326C0">
            <w:pPr>
              <w:jc w:val="center"/>
              <w:rPr>
                <w:b/>
                <w:i/>
                <w:color w:val="92D050"/>
              </w:rPr>
            </w:pPr>
            <w:r w:rsidRPr="006039AF">
              <w:rPr>
                <w:b/>
                <w:bCs/>
                <w:i/>
                <w:color w:val="92D050"/>
              </w:rPr>
              <w:t>120</w:t>
            </w:r>
            <w:r w:rsidR="002326C0" w:rsidRPr="006039AF">
              <w:rPr>
                <w:b/>
                <w:bCs/>
                <w:i/>
                <w:color w:val="92D050"/>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9C8FF9" w14:textId="1DB56D47" w:rsidR="002326C0" w:rsidRPr="006039AF" w:rsidRDefault="006039AF" w:rsidP="002326C0">
            <w:pPr>
              <w:jc w:val="center"/>
              <w:rPr>
                <w:b/>
                <w:i/>
                <w:color w:val="92D050"/>
              </w:rPr>
            </w:pPr>
            <w:r w:rsidRPr="006039AF">
              <w:rPr>
                <w:b/>
                <w:i/>
                <w:color w:val="92D050"/>
              </w:rPr>
              <w:t>120</w:t>
            </w:r>
            <w:r w:rsidR="002326C0" w:rsidRPr="006039AF">
              <w:rPr>
                <w:b/>
                <w:i/>
                <w:color w:val="92D050"/>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C3E45" w14:textId="15D65C3C" w:rsidR="002326C0" w:rsidRPr="006039AF" w:rsidRDefault="006039AF" w:rsidP="002326C0">
            <w:pPr>
              <w:jc w:val="center"/>
              <w:rPr>
                <w:b/>
                <w:i/>
                <w:color w:val="92D050"/>
              </w:rPr>
            </w:pPr>
            <w:r w:rsidRPr="006039AF">
              <w:rPr>
                <w:b/>
                <w:i/>
                <w:color w:val="92D050"/>
              </w:rPr>
              <w:t>140</w:t>
            </w:r>
            <w:r w:rsidR="002326C0" w:rsidRPr="006039AF">
              <w:rPr>
                <w:b/>
                <w:i/>
                <w:color w:val="92D050"/>
              </w:rPr>
              <w:t xml:space="preserve">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FD8574" w14:textId="01ECB1CE" w:rsidR="002326C0" w:rsidRPr="006039AF" w:rsidRDefault="006039AF" w:rsidP="002326C0">
            <w:pPr>
              <w:jc w:val="center"/>
              <w:rPr>
                <w:b/>
                <w:i/>
                <w:color w:val="92D050"/>
              </w:rPr>
            </w:pPr>
            <w:r w:rsidRPr="006039AF">
              <w:rPr>
                <w:b/>
                <w:i/>
                <w:color w:val="92D050"/>
              </w:rPr>
              <w:t>150</w:t>
            </w:r>
            <w:r w:rsidR="002326C0" w:rsidRPr="006039AF">
              <w:rPr>
                <w:b/>
                <w:i/>
                <w:color w:val="92D050"/>
              </w:rPr>
              <w:t xml:space="preserve"> €</w:t>
            </w:r>
          </w:p>
        </w:tc>
      </w:tr>
    </w:tbl>
    <w:p w14:paraId="3BA17131" w14:textId="7970B914" w:rsidR="002326C0" w:rsidRPr="002326C0" w:rsidRDefault="002326C0" w:rsidP="002326C0">
      <w:r w:rsidRPr="002326C0">
        <w:t>*Voir décret n°</w:t>
      </w:r>
      <w:r>
        <w:t xml:space="preserve"> </w:t>
      </w:r>
      <w:hyperlink r:id="rId6" w:history="1">
        <w:r w:rsidRPr="002326C0">
          <w:rPr>
            <w:rStyle w:val="Lienhypertexte"/>
            <w:rFonts w:cstheme="minorBidi"/>
          </w:rPr>
          <w:t>2015-1212</w:t>
        </w:r>
      </w:hyperlink>
      <w:r w:rsidRPr="002326C0">
        <w:t xml:space="preserve"> du 30 septembre 2015 pour connaitre la liste des communes composant les communes du Grand Paris</w:t>
      </w:r>
    </w:p>
    <w:p w14:paraId="3B80484E" w14:textId="52E8C22E" w:rsidR="002326C0" w:rsidRPr="00DA7E9D" w:rsidRDefault="002326C0" w:rsidP="002326C0">
      <w:pPr>
        <w:rPr>
          <w:i/>
          <w:color w:val="86C0C9" w:themeColor="accent3"/>
        </w:rPr>
      </w:pPr>
      <w:r w:rsidRPr="00DA7E9D">
        <w:rPr>
          <w:i/>
          <w:color w:val="86C0C9" w:themeColor="accent3"/>
        </w:rPr>
        <w:t>(</w:t>
      </w:r>
      <w:r w:rsidR="00DA7E9D" w:rsidRPr="00DA7E9D">
        <w:rPr>
          <w:i/>
          <w:color w:val="86C0C9" w:themeColor="accent3"/>
        </w:rPr>
        <w:t xml:space="preserve">Il s’agit de montant forfaitaire maximum, la collectivité peut fixer un forfait inférieur. </w:t>
      </w:r>
      <w:r w:rsidRPr="00DA7E9D">
        <w:rPr>
          <w:i/>
          <w:color w:val="86C0C9" w:themeColor="accent3"/>
        </w:rPr>
        <w:t>Si la collectivité souhaite indemniser au-delà de ces plafonds, elle peut y déroger (article 7-1 du décret du 19 juillet 2001) mais dans ce cas le remboursement se fera selon les frais réellement dépensés par l’agent, la délibération doit prévoir une durée limitée dans le temps)</w:t>
      </w:r>
    </w:p>
    <w:p w14:paraId="4DB551E9" w14:textId="77777777" w:rsidR="002326C0" w:rsidRDefault="002326C0" w:rsidP="002326C0"/>
    <w:p w14:paraId="74792987" w14:textId="6C3B9940" w:rsidR="002326C0" w:rsidRDefault="002326C0" w:rsidP="002326C0"/>
    <w:p w14:paraId="45730E2E" w14:textId="77777777" w:rsidR="00C45751" w:rsidRPr="002326C0" w:rsidRDefault="00C45751" w:rsidP="002326C0"/>
    <w:p w14:paraId="2B3EFEF6" w14:textId="3F7C31DD" w:rsidR="002326C0" w:rsidRPr="002326C0" w:rsidRDefault="002326C0" w:rsidP="002326C0">
      <w:pPr>
        <w:rPr>
          <w:b/>
          <w:bCs/>
          <w:u w:val="single"/>
        </w:rPr>
      </w:pPr>
      <w:r w:rsidRPr="002326C0">
        <w:rPr>
          <w:b/>
          <w:bCs/>
          <w:u w:val="single"/>
        </w:rPr>
        <w:t xml:space="preserve">Article 2 </w:t>
      </w:r>
      <w:r w:rsidR="00043BA5">
        <w:rPr>
          <w:b/>
          <w:bCs/>
        </w:rPr>
        <w:t>: Forfaits</w:t>
      </w:r>
      <w:r w:rsidRPr="002326C0">
        <w:rPr>
          <w:b/>
          <w:bCs/>
        </w:rPr>
        <w:t xml:space="preserve"> des indemnités kilométriques </w:t>
      </w:r>
    </w:p>
    <w:p w14:paraId="2AC7F531" w14:textId="20400877" w:rsidR="002326C0" w:rsidRPr="002326C0" w:rsidRDefault="002326C0" w:rsidP="002326C0">
      <w:r w:rsidRPr="002326C0">
        <w:t xml:space="preserve">Les forfaits des indemnités </w:t>
      </w:r>
      <w:r w:rsidR="00043BA5">
        <w:t>kilométriques sont fixés par l’arrêté</w:t>
      </w:r>
      <w:r w:rsidRPr="002326C0">
        <w:t xml:space="preserve"> du 3 juillet 2006 </w:t>
      </w:r>
    </w:p>
    <w:p w14:paraId="541619C3" w14:textId="2FA9A34D" w:rsidR="002326C0" w:rsidRDefault="002326C0" w:rsidP="002326C0">
      <w:r w:rsidRPr="002326C0">
        <w:t>Il convient de rappeler que le barème des indem</w:t>
      </w:r>
      <w:r w:rsidR="00043BA5">
        <w:t>nités kilométriques s’applique a</w:t>
      </w:r>
      <w:r w:rsidRPr="002326C0">
        <w:t>ux agents territoriaux sans inter</w:t>
      </w:r>
      <w:r w:rsidR="00043BA5">
        <w:t xml:space="preserve">vention de l’organe délibérant </w:t>
      </w:r>
      <w:r w:rsidRPr="002326C0">
        <w:t>et que les montants ne peuvent aller au-delà de ceux fixés par les textes.</w:t>
      </w:r>
    </w:p>
    <w:p w14:paraId="6EE73A2F" w14:textId="6B727A24" w:rsidR="002326C0" w:rsidRDefault="002326C0" w:rsidP="002326C0">
      <w:pPr>
        <w:rPr>
          <w:i/>
        </w:rPr>
      </w:pPr>
    </w:p>
    <w:p w14:paraId="21C49FFB" w14:textId="0F3A1F0D" w:rsidR="00C45751" w:rsidRDefault="00C45751" w:rsidP="002326C0">
      <w:pPr>
        <w:rPr>
          <w:i/>
        </w:rPr>
      </w:pPr>
    </w:p>
    <w:p w14:paraId="43C5F869" w14:textId="77777777" w:rsidR="00C45751" w:rsidRDefault="00C45751" w:rsidP="002326C0">
      <w:pPr>
        <w:rPr>
          <w:i/>
        </w:rPr>
      </w:pPr>
    </w:p>
    <w:p w14:paraId="6E684A1C" w14:textId="2B400E87" w:rsidR="00C45751" w:rsidRPr="006039AF" w:rsidRDefault="00C45751" w:rsidP="00C45751">
      <w:pPr>
        <w:rPr>
          <w:b/>
          <w:bCs/>
          <w:u w:val="single"/>
        </w:rPr>
      </w:pPr>
      <w:bookmarkStart w:id="0" w:name="_GoBack"/>
      <w:r w:rsidRPr="006039AF">
        <w:rPr>
          <w:b/>
          <w:bCs/>
          <w:u w:val="single"/>
        </w:rPr>
        <w:t xml:space="preserve">Article 3 </w:t>
      </w:r>
      <w:r w:rsidRPr="006039AF">
        <w:rPr>
          <w:b/>
          <w:bCs/>
        </w:rPr>
        <w:t xml:space="preserve">: Déplacement à l’intérieur de la commune </w:t>
      </w:r>
    </w:p>
    <w:bookmarkEnd w:id="0"/>
    <w:p w14:paraId="1C42AE61" w14:textId="7938F63E" w:rsidR="00C45751" w:rsidRDefault="00C45751" w:rsidP="00C45751">
      <w:r>
        <w:t xml:space="preserve">Il est versé à l’agent qui exerce des fonctions itinérantes à l’intérieur de la commune, un forfait annuel fixé à </w:t>
      </w:r>
      <w:r w:rsidRPr="00C45751">
        <w:rPr>
          <w:color w:val="86C0C9" w:themeColor="accent3"/>
        </w:rPr>
        <w:t>____________ € (maximum 615€)</w:t>
      </w:r>
    </w:p>
    <w:p w14:paraId="25815A0C" w14:textId="30B335B1" w:rsidR="00C45751" w:rsidRDefault="00C45751" w:rsidP="00C45751">
      <w:r w:rsidRPr="002326C0">
        <w:t xml:space="preserve">Les </w:t>
      </w:r>
      <w:r>
        <w:t>fonctions itinérantes donnant droit à ce forfait annuel sont définies ci-après :</w:t>
      </w:r>
    </w:p>
    <w:p w14:paraId="661F941A" w14:textId="1395A40F" w:rsidR="00C45751" w:rsidRDefault="00C45751" w:rsidP="00C45751">
      <w:pPr>
        <w:ind w:firstLine="1418"/>
      </w:pPr>
      <w:r>
        <w:t>-___________________________________________</w:t>
      </w:r>
    </w:p>
    <w:p w14:paraId="7EA7A64C" w14:textId="10CD477F" w:rsidR="00C45751" w:rsidRDefault="00C45751" w:rsidP="00C45751">
      <w:pPr>
        <w:ind w:firstLine="1418"/>
      </w:pPr>
      <w:r>
        <w:t>- ___________________________________________</w:t>
      </w:r>
    </w:p>
    <w:p w14:paraId="61D73449" w14:textId="77777777" w:rsidR="00C45751" w:rsidRDefault="00C45751" w:rsidP="00C45751">
      <w:pPr>
        <w:ind w:firstLine="1418"/>
      </w:pPr>
      <w:r>
        <w:t>-___________________________________________</w:t>
      </w:r>
    </w:p>
    <w:p w14:paraId="17FDB8A0" w14:textId="77777777" w:rsidR="00C45751" w:rsidRDefault="00C45751" w:rsidP="00C45751">
      <w:pPr>
        <w:ind w:firstLine="1418"/>
        <w:rPr>
          <w:i/>
        </w:rPr>
      </w:pPr>
      <w:r>
        <w:t>- ___________________________________________</w:t>
      </w:r>
    </w:p>
    <w:p w14:paraId="48046F53" w14:textId="77777777" w:rsidR="00C45751" w:rsidRDefault="00C45751" w:rsidP="00C45751">
      <w:pPr>
        <w:ind w:firstLine="1418"/>
      </w:pPr>
      <w:r>
        <w:t>-___________________________________________</w:t>
      </w:r>
    </w:p>
    <w:p w14:paraId="6D2FAD19" w14:textId="77777777" w:rsidR="00C45751" w:rsidRDefault="00C45751" w:rsidP="00C45751">
      <w:pPr>
        <w:ind w:firstLine="1418"/>
        <w:rPr>
          <w:i/>
        </w:rPr>
      </w:pPr>
      <w:r>
        <w:t>- ___________________________________________</w:t>
      </w:r>
    </w:p>
    <w:p w14:paraId="5C0F0A21" w14:textId="77777777" w:rsidR="00C45751" w:rsidRDefault="00C45751" w:rsidP="00C45751">
      <w:pPr>
        <w:ind w:firstLine="1418"/>
        <w:rPr>
          <w:i/>
        </w:rPr>
      </w:pPr>
    </w:p>
    <w:p w14:paraId="20FEF5E0" w14:textId="69F3E422" w:rsidR="00C45751" w:rsidRDefault="00C45751">
      <w:pPr>
        <w:spacing w:after="200" w:line="276" w:lineRule="auto"/>
        <w:jc w:val="left"/>
        <w:rPr>
          <w:i/>
        </w:rPr>
      </w:pPr>
      <w:r>
        <w:rPr>
          <w:i/>
        </w:rPr>
        <w:br w:type="page"/>
      </w:r>
    </w:p>
    <w:p w14:paraId="4C83DBFF" w14:textId="77777777" w:rsidR="00BB0F61" w:rsidRDefault="00BB0F61" w:rsidP="002326C0">
      <w:pPr>
        <w:rPr>
          <w:i/>
        </w:rPr>
      </w:pPr>
    </w:p>
    <w:p w14:paraId="69673EFD" w14:textId="174644B9" w:rsidR="00DC0196" w:rsidRPr="002326C0" w:rsidRDefault="00DC0196" w:rsidP="00DC0196">
      <w:pPr>
        <w:rPr>
          <w:b/>
          <w:bCs/>
          <w:u w:val="single"/>
        </w:rPr>
      </w:pPr>
      <w:r w:rsidRPr="002326C0">
        <w:rPr>
          <w:b/>
          <w:bCs/>
          <w:u w:val="single"/>
        </w:rPr>
        <w:t xml:space="preserve">Article </w:t>
      </w:r>
      <w:r w:rsidR="00C45751">
        <w:rPr>
          <w:b/>
          <w:bCs/>
          <w:u w:val="single"/>
        </w:rPr>
        <w:t>4</w:t>
      </w:r>
      <w:r w:rsidRPr="002326C0">
        <w:rPr>
          <w:b/>
          <w:bCs/>
          <w:u w:val="single"/>
        </w:rPr>
        <w:t xml:space="preserve"> </w:t>
      </w:r>
      <w:r w:rsidR="00043BA5">
        <w:rPr>
          <w:b/>
          <w:bCs/>
        </w:rPr>
        <w:t>: Forfait</w:t>
      </w:r>
      <w:r w:rsidRPr="002326C0">
        <w:rPr>
          <w:b/>
          <w:bCs/>
        </w:rPr>
        <w:t xml:space="preserve"> de repas</w:t>
      </w:r>
    </w:p>
    <w:p w14:paraId="38E868D8" w14:textId="5391720E" w:rsidR="00DC0196" w:rsidRPr="002326C0" w:rsidRDefault="00043BA5" w:rsidP="00DC0196">
      <w:r>
        <w:t xml:space="preserve">Le forfait des indemnités </w:t>
      </w:r>
      <w:r w:rsidR="00DC0196" w:rsidRPr="002326C0">
        <w:t xml:space="preserve">de repas </w:t>
      </w:r>
      <w:r>
        <w:t>est</w:t>
      </w:r>
      <w:r w:rsidR="00DC0196" w:rsidRPr="002326C0">
        <w:t xml:space="preserve"> fixé</w:t>
      </w:r>
      <w:r>
        <w:t xml:space="preserve"> par l’</w:t>
      </w:r>
      <w:r w:rsidR="00DC0196" w:rsidRPr="002326C0">
        <w:t xml:space="preserve">arrêté du 3 juillet 2006 </w:t>
      </w:r>
    </w:p>
    <w:p w14:paraId="470B06C0" w14:textId="1A91CB0C" w:rsidR="00DC0196" w:rsidRDefault="00043BA5" w:rsidP="00DC0196">
      <w:r>
        <w:t>Il convient de rappeler que</w:t>
      </w:r>
      <w:r w:rsidR="00DC0196" w:rsidRPr="002326C0">
        <w:t xml:space="preserve"> </w:t>
      </w:r>
      <w:r>
        <w:t>le forfait du repas s’applique</w:t>
      </w:r>
      <w:r w:rsidR="00DC0196" w:rsidRPr="002326C0">
        <w:t xml:space="preserve"> aux agents territoriaux sans interv</w:t>
      </w:r>
      <w:r>
        <w:t xml:space="preserve">ention de l’organe délibérant et que le remboursement ne peut </w:t>
      </w:r>
      <w:r w:rsidR="00DC0196" w:rsidRPr="002326C0">
        <w:t xml:space="preserve">aller au-delà de </w:t>
      </w:r>
      <w:r>
        <w:t>celui</w:t>
      </w:r>
      <w:r w:rsidR="00DC0196" w:rsidRPr="002326C0">
        <w:t xml:space="preserve"> fixé par les textes.</w:t>
      </w:r>
    </w:p>
    <w:p w14:paraId="0D0EDD41" w14:textId="7661993C" w:rsidR="00DC0196" w:rsidRPr="00DA7E9D" w:rsidRDefault="00043BA5" w:rsidP="00DC0196">
      <w:pPr>
        <w:rPr>
          <w:b/>
          <w:i/>
          <w:color w:val="86C0C9" w:themeColor="accent3"/>
        </w:rPr>
      </w:pPr>
      <w:r w:rsidRPr="00DA7E9D">
        <w:rPr>
          <w:b/>
          <w:i/>
          <w:color w:val="86C0C9" w:themeColor="accent3"/>
        </w:rPr>
        <w:t>Ou</w:t>
      </w:r>
    </w:p>
    <w:p w14:paraId="40142545" w14:textId="14770125" w:rsidR="002326C0" w:rsidRPr="002326C0" w:rsidRDefault="00043BA5" w:rsidP="002326C0">
      <w:pPr>
        <w:rPr>
          <w:i/>
        </w:rPr>
      </w:pPr>
      <w:r>
        <w:t xml:space="preserve">Les frais de repas des agents seront </w:t>
      </w:r>
      <w:r w:rsidR="00DA7E9D">
        <w:t>remboursés sur la base des frais réels engagés par l’agent dans la limite du taux fixé par l’arrêté du 3 juillet 2006 et sur présentation d’un justificatif de paiement</w:t>
      </w:r>
    </w:p>
    <w:p w14:paraId="37B00FF1" w14:textId="2DB88D90" w:rsidR="002326C0" w:rsidRDefault="002326C0" w:rsidP="002326C0"/>
    <w:p w14:paraId="1C1BA415" w14:textId="77777777" w:rsidR="00C45751" w:rsidRDefault="00C45751" w:rsidP="002326C0"/>
    <w:p w14:paraId="702B5535" w14:textId="77777777" w:rsidR="00BB0F61" w:rsidRPr="002326C0" w:rsidRDefault="00BB0F61" w:rsidP="002326C0"/>
    <w:p w14:paraId="7860558E" w14:textId="4F975B60" w:rsidR="002326C0" w:rsidRPr="002326C0" w:rsidRDefault="002326C0" w:rsidP="002326C0">
      <w:pPr>
        <w:rPr>
          <w:b/>
          <w:i/>
        </w:rPr>
      </w:pPr>
      <w:r w:rsidRPr="002326C0">
        <w:rPr>
          <w:b/>
          <w:u w:val="single"/>
        </w:rPr>
        <w:t xml:space="preserve">Article </w:t>
      </w:r>
      <w:r w:rsidR="00C45751">
        <w:rPr>
          <w:b/>
          <w:u w:val="single"/>
        </w:rPr>
        <w:t>5</w:t>
      </w:r>
      <w:r w:rsidRPr="002326C0">
        <w:rPr>
          <w:b/>
        </w:rPr>
        <w:t xml:space="preserve"> : Détermination de pourcentage de réduction </w:t>
      </w:r>
      <w:r w:rsidRPr="002326C0">
        <w:rPr>
          <w:b/>
          <w:i/>
          <w:color w:val="86C0C9" w:themeColor="accent3"/>
        </w:rPr>
        <w:t>(facultatif)</w:t>
      </w:r>
    </w:p>
    <w:p w14:paraId="22BF33F4" w14:textId="7F57A76E" w:rsidR="002326C0" w:rsidRPr="002326C0" w:rsidRDefault="002326C0" w:rsidP="002326C0">
      <w:r w:rsidRPr="002326C0">
        <w:t>Pour les agents ayant la possibilité de restauration et d’hébergement par l’organisme organisant la manifestation ou la formation mais qui choisissent un autre lieu de restauration ou d’hébergement : …………………% de réduction sur les tarifs de restauration et d’hébergement seront appliqués à la demande de remboursement.</w:t>
      </w:r>
    </w:p>
    <w:p w14:paraId="1C38EBCA" w14:textId="77777777" w:rsidR="002326C0" w:rsidRDefault="002326C0" w:rsidP="002326C0"/>
    <w:p w14:paraId="5FE6A8CC" w14:textId="77777777" w:rsidR="002326C0" w:rsidRPr="002326C0" w:rsidRDefault="002326C0" w:rsidP="002326C0"/>
    <w:p w14:paraId="4EBA572F" w14:textId="77777777" w:rsidR="002326C0" w:rsidRPr="002326C0" w:rsidRDefault="002326C0" w:rsidP="002326C0"/>
    <w:p w14:paraId="5DAF85C2" w14:textId="22434EF1" w:rsidR="002326C0" w:rsidRPr="002326C0" w:rsidRDefault="002326C0" w:rsidP="002326C0">
      <w:pPr>
        <w:rPr>
          <w:b/>
          <w:bCs/>
          <w:u w:val="single"/>
        </w:rPr>
      </w:pPr>
      <w:r w:rsidRPr="002326C0">
        <w:rPr>
          <w:b/>
          <w:bCs/>
          <w:u w:val="single"/>
        </w:rPr>
        <w:t xml:space="preserve">Article </w:t>
      </w:r>
      <w:r w:rsidR="00C45751">
        <w:rPr>
          <w:b/>
          <w:bCs/>
          <w:u w:val="single"/>
        </w:rPr>
        <w:t>6</w:t>
      </w:r>
      <w:r w:rsidRPr="002326C0">
        <w:rPr>
          <w:b/>
          <w:bCs/>
        </w:rPr>
        <w:t xml:space="preserve"> :</w:t>
      </w:r>
      <w:r w:rsidRPr="002326C0">
        <w:t xml:space="preserve"> </w:t>
      </w:r>
      <w:r w:rsidRPr="002326C0">
        <w:rPr>
          <w:b/>
          <w:bCs/>
        </w:rPr>
        <w:t>Exécution</w:t>
      </w:r>
      <w:r w:rsidRPr="002326C0">
        <w:rPr>
          <w:b/>
          <w:bCs/>
          <w:u w:val="single"/>
        </w:rPr>
        <w:t xml:space="preserve"> </w:t>
      </w:r>
    </w:p>
    <w:p w14:paraId="31AB3B98" w14:textId="77777777" w:rsidR="002326C0" w:rsidRPr="002326C0" w:rsidRDefault="002326C0" w:rsidP="002326C0">
      <w:pPr>
        <w:rPr>
          <w:color w:val="86C0C9" w:themeColor="accent3"/>
        </w:rPr>
      </w:pPr>
      <w:r w:rsidRPr="002326C0">
        <w:t xml:space="preserve">Le </w:t>
      </w:r>
      <w:r w:rsidRPr="002326C0">
        <w:rPr>
          <w:i/>
          <w:color w:val="86C0C9" w:themeColor="accent3"/>
        </w:rPr>
        <w:t>Président/ Le Maire</w:t>
      </w:r>
      <w:r w:rsidRPr="002326C0">
        <w:rPr>
          <w:color w:val="86C0C9" w:themeColor="accent3"/>
        </w:rPr>
        <w:t xml:space="preserve"> </w:t>
      </w:r>
      <w:r w:rsidRPr="002326C0">
        <w:t xml:space="preserve">et le payeur départemental sont chargés, chacun pour ce qui le concerne de l’exécution de cette décision qui sera transmise au contrôle de légalité de la </w:t>
      </w:r>
      <w:r w:rsidRPr="002326C0">
        <w:rPr>
          <w:i/>
          <w:color w:val="86C0C9" w:themeColor="accent3"/>
        </w:rPr>
        <w:t>Préfecture/ Sous-préfecture</w:t>
      </w:r>
      <w:r w:rsidRPr="002326C0">
        <w:rPr>
          <w:color w:val="86C0C9" w:themeColor="accent3"/>
        </w:rPr>
        <w:t>.</w:t>
      </w:r>
    </w:p>
    <w:p w14:paraId="111A0113" w14:textId="799B91D6" w:rsidR="002326C0" w:rsidRDefault="002326C0" w:rsidP="002326C0">
      <w:pPr>
        <w:rPr>
          <w:color w:val="86C0C9" w:themeColor="accent3"/>
        </w:rPr>
      </w:pPr>
    </w:p>
    <w:p w14:paraId="6036B487" w14:textId="77777777" w:rsidR="00C45751" w:rsidRPr="002326C0" w:rsidRDefault="00C45751" w:rsidP="002326C0">
      <w:pPr>
        <w:rPr>
          <w:color w:val="86C0C9" w:themeColor="accent3"/>
        </w:rPr>
      </w:pPr>
    </w:p>
    <w:p w14:paraId="5CD801F8" w14:textId="77777777" w:rsidR="002326C0" w:rsidRPr="002326C0" w:rsidRDefault="002326C0" w:rsidP="002326C0"/>
    <w:p w14:paraId="20548185" w14:textId="316F2CA4" w:rsidR="002326C0" w:rsidRPr="002326C0" w:rsidRDefault="002326C0" w:rsidP="002326C0">
      <w:pPr>
        <w:rPr>
          <w:b/>
          <w:bCs/>
          <w:u w:val="single"/>
        </w:rPr>
      </w:pPr>
      <w:r w:rsidRPr="002326C0">
        <w:rPr>
          <w:b/>
          <w:bCs/>
          <w:u w:val="single"/>
        </w:rPr>
        <w:t xml:space="preserve">Article </w:t>
      </w:r>
      <w:r w:rsidR="00C45751">
        <w:rPr>
          <w:b/>
          <w:bCs/>
          <w:u w:val="single"/>
        </w:rPr>
        <w:t>7</w:t>
      </w:r>
      <w:r w:rsidRPr="002326C0">
        <w:rPr>
          <w:b/>
          <w:bCs/>
        </w:rPr>
        <w:t xml:space="preserve"> :</w:t>
      </w:r>
      <w:r w:rsidRPr="002326C0">
        <w:t xml:space="preserve"> </w:t>
      </w:r>
      <w:r w:rsidRPr="002326C0">
        <w:rPr>
          <w:b/>
          <w:bCs/>
        </w:rPr>
        <w:t>Voies et délais de recours</w:t>
      </w:r>
      <w:r w:rsidRPr="002326C0">
        <w:rPr>
          <w:b/>
          <w:bCs/>
          <w:u w:val="single"/>
        </w:rPr>
        <w:t xml:space="preserve"> </w:t>
      </w:r>
    </w:p>
    <w:p w14:paraId="64F99B57" w14:textId="77777777" w:rsidR="002326C0" w:rsidRPr="002326C0" w:rsidRDefault="002326C0" w:rsidP="002326C0">
      <w:r w:rsidRPr="002326C0">
        <w:t xml:space="preserve">Le Maire </w:t>
      </w:r>
      <w:r w:rsidRPr="002326C0">
        <w:rPr>
          <w:i/>
          <w:color w:val="86C0C9" w:themeColor="accent3"/>
        </w:rPr>
        <w:t>(Président)</w:t>
      </w:r>
      <w:r w:rsidRPr="002326C0">
        <w:rPr>
          <w:color w:val="86C0C9" w:themeColor="accent3"/>
        </w:rPr>
        <w:t xml:space="preserve"> </w:t>
      </w:r>
      <w:r w:rsidRPr="002326C0">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6C93225" w14:textId="77777777" w:rsidR="002326C0" w:rsidRPr="002326C0" w:rsidRDefault="002326C0" w:rsidP="002326C0"/>
    <w:p w14:paraId="7F95919A" w14:textId="77777777" w:rsidR="002326C0" w:rsidRPr="002326C0" w:rsidRDefault="002326C0" w:rsidP="002326C0"/>
    <w:p w14:paraId="1E64991B" w14:textId="77777777" w:rsidR="002D7670" w:rsidRDefault="002D7670" w:rsidP="00565D14"/>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5D17FA24" w:rsidR="00835CFA" w:rsidRPr="002610C4" w:rsidRDefault="009D2780">
      <w:pPr>
        <w:rPr>
          <w:rFonts w:cs="Arial"/>
          <w:i/>
          <w:color w:val="4DA0AD" w:themeColor="accent3" w:themeShade="BF"/>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77777777" w:rsidR="00655A45" w:rsidRPr="00E643CA" w:rsidRDefault="00655A45" w:rsidP="00A4642B">
                            <w:pPr>
                              <w:rPr>
                                <w:rFonts w:cs="Arial"/>
                                <w:szCs w:val="20"/>
                              </w:rPr>
                            </w:pPr>
                            <w:r w:rsidRPr="00E643CA">
                              <w:rPr>
                                <w:rFonts w:cs="Arial"/>
                                <w:szCs w:val="20"/>
                              </w:rPr>
                              <w:t xml:space="preserve">Visa de la Préfecture : </w:t>
                            </w:r>
                          </w:p>
                          <w:p w14:paraId="547DDB53" w14:textId="77777777" w:rsidR="00655A45" w:rsidRPr="00E643CA" w:rsidRDefault="00655A45" w:rsidP="00A4642B">
                            <w:pPr>
                              <w:rPr>
                                <w:rFonts w:cs="Arial"/>
                                <w:szCs w:val="20"/>
                              </w:rPr>
                            </w:pPr>
                          </w:p>
                          <w:p w14:paraId="7B53E0A1" w14:textId="77777777" w:rsidR="00655A45" w:rsidRPr="00E643CA" w:rsidRDefault="00655A45" w:rsidP="00A4642B">
                            <w:pPr>
                              <w:rPr>
                                <w:rFonts w:cs="Arial"/>
                                <w:szCs w:val="20"/>
                              </w:rPr>
                            </w:pPr>
                          </w:p>
                          <w:p w14:paraId="5BDD8CC1" w14:textId="77777777" w:rsidR="00655A45" w:rsidRPr="00E643CA" w:rsidRDefault="00655A45"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655A45" w:rsidRDefault="00655A45"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14:paraId="25875969" w14:textId="77777777" w:rsidR="00655A45" w:rsidRPr="00E643CA" w:rsidRDefault="00655A45" w:rsidP="00A4642B">
                      <w:pPr>
                        <w:rPr>
                          <w:rFonts w:cs="Arial"/>
                          <w:szCs w:val="20"/>
                        </w:rPr>
                      </w:pPr>
                      <w:r w:rsidRPr="00E643CA">
                        <w:rPr>
                          <w:rFonts w:cs="Arial"/>
                          <w:szCs w:val="20"/>
                        </w:rPr>
                        <w:t xml:space="preserve">Visa de la Préfecture : </w:t>
                      </w:r>
                    </w:p>
                    <w:p w14:paraId="547DDB53" w14:textId="77777777" w:rsidR="00655A45" w:rsidRPr="00E643CA" w:rsidRDefault="00655A45" w:rsidP="00A4642B">
                      <w:pPr>
                        <w:rPr>
                          <w:rFonts w:cs="Arial"/>
                          <w:szCs w:val="20"/>
                        </w:rPr>
                      </w:pPr>
                    </w:p>
                    <w:p w14:paraId="7B53E0A1" w14:textId="77777777" w:rsidR="00655A45" w:rsidRPr="00E643CA" w:rsidRDefault="00655A45" w:rsidP="00A4642B">
                      <w:pPr>
                        <w:rPr>
                          <w:rFonts w:cs="Arial"/>
                          <w:szCs w:val="20"/>
                        </w:rPr>
                      </w:pPr>
                    </w:p>
                    <w:p w14:paraId="5BDD8CC1" w14:textId="77777777" w:rsidR="00655A45" w:rsidRPr="00E643CA" w:rsidRDefault="00655A45"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655A45" w:rsidRDefault="00655A45" w:rsidP="00A4642B"/>
                  </w:txbxContent>
                </v:textbox>
              </v:shape>
            </w:pict>
          </mc:Fallback>
        </mc:AlternateContent>
      </w: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3BA5"/>
    <w:rsid w:val="0004495C"/>
    <w:rsid w:val="000464FE"/>
    <w:rsid w:val="00053690"/>
    <w:rsid w:val="00063834"/>
    <w:rsid w:val="0006691C"/>
    <w:rsid w:val="000873EF"/>
    <w:rsid w:val="000876D6"/>
    <w:rsid w:val="000A7690"/>
    <w:rsid w:val="000D3A58"/>
    <w:rsid w:val="000D52CE"/>
    <w:rsid w:val="00105187"/>
    <w:rsid w:val="00125A4D"/>
    <w:rsid w:val="00125EAB"/>
    <w:rsid w:val="0013691D"/>
    <w:rsid w:val="001470AD"/>
    <w:rsid w:val="00150301"/>
    <w:rsid w:val="00154259"/>
    <w:rsid w:val="001558C9"/>
    <w:rsid w:val="00174BE8"/>
    <w:rsid w:val="00180703"/>
    <w:rsid w:val="00186C13"/>
    <w:rsid w:val="001B02EB"/>
    <w:rsid w:val="001B2659"/>
    <w:rsid w:val="001B4112"/>
    <w:rsid w:val="001B55BE"/>
    <w:rsid w:val="001C0C7B"/>
    <w:rsid w:val="001C77D1"/>
    <w:rsid w:val="001D2C85"/>
    <w:rsid w:val="001E3FB6"/>
    <w:rsid w:val="001F34DA"/>
    <w:rsid w:val="00207582"/>
    <w:rsid w:val="002158DD"/>
    <w:rsid w:val="002205AD"/>
    <w:rsid w:val="00224D49"/>
    <w:rsid w:val="00227A13"/>
    <w:rsid w:val="002326C0"/>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53FF0"/>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335F"/>
    <w:rsid w:val="006039AF"/>
    <w:rsid w:val="00625375"/>
    <w:rsid w:val="00644A87"/>
    <w:rsid w:val="00646273"/>
    <w:rsid w:val="0065082B"/>
    <w:rsid w:val="00654BD2"/>
    <w:rsid w:val="00655A45"/>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06FA8"/>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0158D"/>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541"/>
    <w:rsid w:val="00B51867"/>
    <w:rsid w:val="00B539F3"/>
    <w:rsid w:val="00B676FD"/>
    <w:rsid w:val="00B741A8"/>
    <w:rsid w:val="00B74F0C"/>
    <w:rsid w:val="00B950F3"/>
    <w:rsid w:val="00BA3388"/>
    <w:rsid w:val="00BB0F61"/>
    <w:rsid w:val="00BC7625"/>
    <w:rsid w:val="00BD496F"/>
    <w:rsid w:val="00BD5533"/>
    <w:rsid w:val="00BF4CD2"/>
    <w:rsid w:val="00C014AB"/>
    <w:rsid w:val="00C03B6F"/>
    <w:rsid w:val="00C063FA"/>
    <w:rsid w:val="00C113D4"/>
    <w:rsid w:val="00C13B17"/>
    <w:rsid w:val="00C2477B"/>
    <w:rsid w:val="00C36D0F"/>
    <w:rsid w:val="00C40576"/>
    <w:rsid w:val="00C43EC7"/>
    <w:rsid w:val="00C45751"/>
    <w:rsid w:val="00C6207F"/>
    <w:rsid w:val="00C70044"/>
    <w:rsid w:val="00C96062"/>
    <w:rsid w:val="00CA593C"/>
    <w:rsid w:val="00CB7C25"/>
    <w:rsid w:val="00CC0413"/>
    <w:rsid w:val="00CE2B0C"/>
    <w:rsid w:val="00CE4B64"/>
    <w:rsid w:val="00D201C4"/>
    <w:rsid w:val="00D5570A"/>
    <w:rsid w:val="00D63391"/>
    <w:rsid w:val="00D6654C"/>
    <w:rsid w:val="00D67514"/>
    <w:rsid w:val="00D77178"/>
    <w:rsid w:val="00D83752"/>
    <w:rsid w:val="00D9077E"/>
    <w:rsid w:val="00DA1354"/>
    <w:rsid w:val="00DA196E"/>
    <w:rsid w:val="00DA4149"/>
    <w:rsid w:val="00DA4688"/>
    <w:rsid w:val="00DA7E9D"/>
    <w:rsid w:val="00DB0EA5"/>
    <w:rsid w:val="00DB190B"/>
    <w:rsid w:val="00DC0196"/>
    <w:rsid w:val="00DC47FE"/>
    <w:rsid w:val="00DC4DAB"/>
    <w:rsid w:val="00DC506A"/>
    <w:rsid w:val="00DC7506"/>
    <w:rsid w:val="00DD42E5"/>
    <w:rsid w:val="00DE26AE"/>
    <w:rsid w:val="00DF135D"/>
    <w:rsid w:val="00DF5830"/>
    <w:rsid w:val="00E04456"/>
    <w:rsid w:val="00E045D1"/>
    <w:rsid w:val="00E1260F"/>
    <w:rsid w:val="00E24FCF"/>
    <w:rsid w:val="00E43896"/>
    <w:rsid w:val="00E50685"/>
    <w:rsid w:val="00E553C9"/>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B6479"/>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4356CE14-7F74-45FA-B05B-BC4BF786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Texte.do?cidTexte=JORFTEXT0000312556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312D-166C-45E3-875A-7D1AF02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3</cp:revision>
  <cp:lastPrinted>2020-03-10T16:34:00Z</cp:lastPrinted>
  <dcterms:created xsi:type="dcterms:W3CDTF">2024-10-18T12:26:00Z</dcterms:created>
  <dcterms:modified xsi:type="dcterms:W3CDTF">2024-10-18T12:28:00Z</dcterms:modified>
</cp:coreProperties>
</file>