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1E9BD" w14:textId="5490F4DF" w:rsidR="005A55FA" w:rsidRPr="005A55FA" w:rsidRDefault="005A55FA" w:rsidP="00121C06">
      <w:pPr>
        <w:jc w:val="center"/>
        <w:rPr>
          <w:rFonts w:cs="Arial"/>
          <w:sz w:val="18"/>
          <w:szCs w:val="18"/>
        </w:rPr>
      </w:pPr>
      <w:r w:rsidRPr="005A55FA">
        <w:rPr>
          <w:rFonts w:cs="Arial"/>
          <w:sz w:val="18"/>
          <w:szCs w:val="18"/>
        </w:rPr>
        <w:t>Modèle à adapter n°</w:t>
      </w:r>
      <w:r>
        <w:rPr>
          <w:rFonts w:cs="Arial"/>
          <w:sz w:val="18"/>
          <w:szCs w:val="18"/>
        </w:rPr>
        <w:t xml:space="preserve"> </w:t>
      </w:r>
      <w:r w:rsidR="00121C06">
        <w:rPr>
          <w:rFonts w:cs="Arial"/>
          <w:sz w:val="18"/>
          <w:szCs w:val="18"/>
        </w:rPr>
        <w:t xml:space="preserve">08-B-MOD2 - </w:t>
      </w:r>
      <w:r w:rsidRPr="005A55FA">
        <w:rPr>
          <w:rFonts w:cs="Arial"/>
          <w:sz w:val="18"/>
          <w:szCs w:val="18"/>
        </w:rPr>
        <w:t>CDG 53 – (</w:t>
      </w:r>
      <w:r w:rsidR="00712169">
        <w:rPr>
          <w:rFonts w:cs="Arial"/>
          <w:color w:val="92D050"/>
          <w:sz w:val="18"/>
          <w:szCs w:val="18"/>
        </w:rPr>
        <w:t>juillet</w:t>
      </w:r>
      <w:r w:rsidR="003B78EE">
        <w:rPr>
          <w:rFonts w:cs="Arial"/>
          <w:color w:val="92D050"/>
          <w:sz w:val="18"/>
          <w:szCs w:val="18"/>
        </w:rPr>
        <w:t xml:space="preserve"> 2024</w:t>
      </w:r>
      <w:r w:rsidRPr="005A55FA">
        <w:rPr>
          <w:rFonts w:cs="Arial"/>
          <w:sz w:val="18"/>
          <w:szCs w:val="18"/>
        </w:rPr>
        <w:t>)</w:t>
      </w:r>
    </w:p>
    <w:p w14:paraId="0790DFF7" w14:textId="77777777" w:rsidR="005A55FA" w:rsidRPr="005A55FA" w:rsidRDefault="005A55FA" w:rsidP="00121C06">
      <w:pPr>
        <w:jc w:val="center"/>
        <w:rPr>
          <w:rFonts w:cs="Arial"/>
          <w:sz w:val="18"/>
          <w:szCs w:val="18"/>
        </w:rPr>
      </w:pPr>
    </w:p>
    <w:p w14:paraId="5BECB436" w14:textId="77777777" w:rsidR="005A55FA" w:rsidRPr="005A55FA" w:rsidRDefault="005A55FA" w:rsidP="00121C06">
      <w:pPr>
        <w:pBdr>
          <w:top w:val="single" w:sz="4" w:space="1" w:color="auto"/>
          <w:left w:val="single" w:sz="4" w:space="4" w:color="auto"/>
          <w:bottom w:val="single" w:sz="4" w:space="1" w:color="auto"/>
          <w:right w:val="single" w:sz="4" w:space="4" w:color="auto"/>
        </w:pBdr>
        <w:jc w:val="center"/>
        <w:rPr>
          <w:rFonts w:cs="Arial"/>
          <w:b/>
          <w:sz w:val="28"/>
        </w:rPr>
      </w:pPr>
      <w:r w:rsidRPr="005A55FA">
        <w:rPr>
          <w:rFonts w:cs="Arial"/>
          <w:b/>
          <w:sz w:val="28"/>
        </w:rPr>
        <w:t xml:space="preserve">Délibération n°_____ </w:t>
      </w:r>
      <w:r>
        <w:rPr>
          <w:rFonts w:cs="Arial"/>
          <w:b/>
          <w:sz w:val="28"/>
        </w:rPr>
        <w:t>relative à l’instauration</w:t>
      </w:r>
      <w:r w:rsidRPr="005A55FA">
        <w:rPr>
          <w:rFonts w:cs="Arial"/>
          <w:b/>
          <w:sz w:val="28"/>
        </w:rPr>
        <w:t xml:space="preserve"> du compte épargne-temps</w:t>
      </w:r>
    </w:p>
    <w:p w14:paraId="22CA5F46" w14:textId="77777777" w:rsidR="005A55FA" w:rsidRPr="005A55FA" w:rsidRDefault="005A55FA" w:rsidP="00121C06">
      <w:pPr>
        <w:rPr>
          <w:rFonts w:cs="Arial"/>
        </w:rPr>
      </w:pPr>
    </w:p>
    <w:p w14:paraId="48B5CA3C" w14:textId="77777777" w:rsidR="005A55FA" w:rsidRPr="005A55FA" w:rsidRDefault="005A55FA" w:rsidP="00121C06">
      <w:pPr>
        <w:rPr>
          <w:rFonts w:cs="Arial"/>
        </w:rPr>
      </w:pPr>
    </w:p>
    <w:p w14:paraId="011C366B" w14:textId="77777777" w:rsidR="005A55FA" w:rsidRPr="005A55FA" w:rsidRDefault="005A55FA" w:rsidP="00121C06">
      <w:pPr>
        <w:rPr>
          <w:rFonts w:cs="Arial"/>
          <w:b/>
          <w:i/>
          <w:color w:val="4DA0AD" w:themeColor="accent3" w:themeShade="BF"/>
          <w:sz w:val="18"/>
          <w:szCs w:val="18"/>
        </w:rPr>
      </w:pPr>
      <w:r w:rsidRPr="005A55FA">
        <w:rPr>
          <w:rFonts w:cs="Arial"/>
          <w:b/>
          <w:i/>
          <w:sz w:val="18"/>
          <w:szCs w:val="18"/>
        </w:rPr>
        <w:t xml:space="preserve">Le conseil municipal </w:t>
      </w:r>
      <w:r w:rsidRPr="005A55FA">
        <w:rPr>
          <w:rFonts w:cs="Arial"/>
          <w:b/>
          <w:i/>
          <w:color w:val="86C0C9" w:themeColor="accent3"/>
          <w:sz w:val="18"/>
          <w:szCs w:val="18"/>
        </w:rPr>
        <w:t>(le conseil d’administration)</w:t>
      </w:r>
    </w:p>
    <w:p w14:paraId="32605973" w14:textId="77777777" w:rsidR="005A55FA" w:rsidRPr="005A55FA" w:rsidRDefault="005A55FA" w:rsidP="00121C06">
      <w:pPr>
        <w:pStyle w:val="textecourant"/>
        <w:tabs>
          <w:tab w:val="left" w:pos="283"/>
        </w:tabs>
        <w:spacing w:before="0" w:line="240" w:lineRule="auto"/>
        <w:rPr>
          <w:i/>
        </w:rPr>
      </w:pPr>
    </w:p>
    <w:p w14:paraId="35545B8F" w14:textId="77777777" w:rsidR="005A55FA" w:rsidRPr="003B78EE" w:rsidRDefault="005A55FA" w:rsidP="003B78EE">
      <w:pPr>
        <w:pStyle w:val="VuConsidrant"/>
        <w:autoSpaceDE/>
        <w:autoSpaceDN/>
        <w:spacing w:after="0"/>
        <w:rPr>
          <w:rFonts w:eastAsiaTheme="minorHAnsi"/>
          <w:i/>
          <w:szCs w:val="22"/>
          <w:shd w:val="clear" w:color="auto" w:fill="FFFFFF"/>
        </w:rPr>
      </w:pPr>
      <w:r w:rsidRPr="003B78EE">
        <w:rPr>
          <w:rFonts w:eastAsiaTheme="minorHAnsi"/>
          <w:i/>
          <w:szCs w:val="22"/>
          <w:shd w:val="clear" w:color="auto" w:fill="FFFFFF"/>
        </w:rPr>
        <w:t>Vu le code général de la fonction publique, notamment ses articles L621-4 et L621-5 ;</w:t>
      </w:r>
    </w:p>
    <w:p w14:paraId="00494692" w14:textId="77777777" w:rsidR="005A55FA" w:rsidRPr="003B78EE" w:rsidRDefault="005A55FA" w:rsidP="00121C06">
      <w:pPr>
        <w:rPr>
          <w:rFonts w:cs="Arial"/>
          <w:i/>
          <w:shd w:val="clear" w:color="auto" w:fill="FFFFFF"/>
        </w:rPr>
      </w:pPr>
      <w:r w:rsidRPr="003B78EE">
        <w:rPr>
          <w:rFonts w:cs="Arial"/>
          <w:i/>
          <w:shd w:val="clear" w:color="auto" w:fill="FFFFFF"/>
        </w:rPr>
        <w:t>Vu le décret n°2004-878 du 26 août 2004</w:t>
      </w:r>
      <w:r w:rsidR="00C56531" w:rsidRPr="003B78EE">
        <w:rPr>
          <w:rFonts w:cs="Arial"/>
          <w:i/>
          <w:shd w:val="clear" w:color="auto" w:fill="FFFFFF"/>
        </w:rPr>
        <w:t xml:space="preserve"> modifié</w:t>
      </w:r>
      <w:r w:rsidRPr="003B78EE">
        <w:rPr>
          <w:rFonts w:cs="Arial"/>
          <w:i/>
          <w:shd w:val="clear" w:color="auto" w:fill="FFFFFF"/>
        </w:rPr>
        <w:t xml:space="preserve"> relatif au compte épargne temps dans la fonction publique territoriale ;</w:t>
      </w:r>
    </w:p>
    <w:p w14:paraId="1625010E" w14:textId="77777777" w:rsidR="005A55FA" w:rsidRPr="003B78EE" w:rsidRDefault="001A7309" w:rsidP="003B78EE">
      <w:pPr>
        <w:pStyle w:val="Corpsdetexte2"/>
      </w:pPr>
      <w:r w:rsidRPr="003B78EE">
        <w:t>Vu le d</w:t>
      </w:r>
      <w:r w:rsidR="005A55FA" w:rsidRPr="003B78EE">
        <w:t>écret 2018-1305 du 29 décembre 2018 relatif à la conservation des droits à congés acquis au titre d'un compte épargne-temps en cas de mobilité des agents dans la fonction publique</w:t>
      </w:r>
    </w:p>
    <w:p w14:paraId="24A64626" w14:textId="77777777" w:rsidR="005A55FA" w:rsidRPr="00712169" w:rsidRDefault="005A55FA" w:rsidP="00121C06">
      <w:pPr>
        <w:rPr>
          <w:rFonts w:cs="Arial"/>
          <w:i/>
          <w:shd w:val="clear" w:color="auto" w:fill="FFFFFF"/>
        </w:rPr>
      </w:pPr>
      <w:r w:rsidRPr="003B78EE">
        <w:rPr>
          <w:rFonts w:cs="Arial"/>
          <w:i/>
          <w:shd w:val="clear" w:color="auto" w:fill="FFFFFF"/>
        </w:rPr>
        <w:t xml:space="preserve">Vu l’arrêté du 28 août 2009 pris pour l’application du décret n°2002-634 du 29 avril 2002 modifié portant création du </w:t>
      </w:r>
      <w:r w:rsidRPr="00712169">
        <w:rPr>
          <w:rFonts w:cs="Arial"/>
          <w:i/>
          <w:shd w:val="clear" w:color="auto" w:fill="FFFFFF"/>
        </w:rPr>
        <w:t>compte épargne-temps dans la fonction publique de l’Etat et dans la magistrature ;</w:t>
      </w:r>
    </w:p>
    <w:p w14:paraId="19DDF804" w14:textId="77777777" w:rsidR="003B78EE" w:rsidRPr="00712169" w:rsidRDefault="003B78EE" w:rsidP="003B78EE">
      <w:pPr>
        <w:rPr>
          <w:rFonts w:cs="Arial"/>
          <w:i/>
          <w:szCs w:val="20"/>
          <w:shd w:val="clear" w:color="auto" w:fill="FFFFFF"/>
        </w:rPr>
      </w:pPr>
      <w:r w:rsidRPr="00712169">
        <w:rPr>
          <w:rFonts w:cs="Arial"/>
          <w:i/>
          <w:shd w:val="clear" w:color="auto" w:fill="FFFFFF"/>
        </w:rPr>
        <w:t xml:space="preserve">Vu l’arrêté du </w:t>
      </w:r>
      <w:r w:rsidRPr="00712169">
        <w:rPr>
          <w:rFonts w:cs="Arial"/>
          <w:i/>
          <w:szCs w:val="20"/>
        </w:rPr>
        <w:t>9 janvier 2024 pris pour l'application de l'article 7-1 du décret n° 2004-878 du 26 août 2004 relatif au compte épargne-temps dans la fonction publique territoriale</w:t>
      </w:r>
    </w:p>
    <w:p w14:paraId="73807B68" w14:textId="77777777" w:rsidR="005A55FA" w:rsidRPr="003B78EE" w:rsidRDefault="005A55FA" w:rsidP="00121C06">
      <w:pPr>
        <w:rPr>
          <w:rFonts w:cs="Arial"/>
          <w:i/>
        </w:rPr>
      </w:pPr>
      <w:r w:rsidRPr="003B78EE">
        <w:rPr>
          <w:rFonts w:cs="Arial"/>
          <w:i/>
        </w:rPr>
        <w:t xml:space="preserve">Vu l’avis </w:t>
      </w:r>
      <w:r w:rsidRPr="003B78EE">
        <w:rPr>
          <w:rFonts w:cs="Arial"/>
          <w:b/>
          <w:i/>
          <w:color w:val="86C0C9" w:themeColor="accent3"/>
        </w:rPr>
        <w:t>(préalable)</w:t>
      </w:r>
      <w:r w:rsidRPr="003B78EE">
        <w:rPr>
          <w:rFonts w:cs="Arial"/>
          <w:i/>
          <w:color w:val="86C0C9" w:themeColor="accent3"/>
        </w:rPr>
        <w:t xml:space="preserve"> </w:t>
      </w:r>
      <w:r w:rsidRPr="003B78EE">
        <w:rPr>
          <w:rFonts w:cs="Arial"/>
          <w:i/>
        </w:rPr>
        <w:t>du comité social territorial en date du ……… ;</w:t>
      </w:r>
    </w:p>
    <w:p w14:paraId="230B2956" w14:textId="77777777" w:rsidR="005A55FA" w:rsidRPr="003B78EE" w:rsidRDefault="005A55FA" w:rsidP="00121C06">
      <w:pPr>
        <w:rPr>
          <w:rFonts w:eastAsia="Times New Roman" w:cs="Arial"/>
          <w:i/>
          <w:szCs w:val="18"/>
        </w:rPr>
      </w:pPr>
      <w:r w:rsidRPr="003B78EE">
        <w:rPr>
          <w:rFonts w:eastAsia="Times New Roman" w:cs="Arial"/>
          <w:i/>
          <w:szCs w:val="18"/>
        </w:rPr>
        <w:t>Considérant que le compte épargne-</w:t>
      </w:r>
      <w:r w:rsidR="001E0999" w:rsidRPr="003B78EE">
        <w:rPr>
          <w:rFonts w:eastAsia="Times New Roman" w:cs="Arial"/>
          <w:i/>
          <w:szCs w:val="18"/>
        </w:rPr>
        <w:t>temps (CET)</w:t>
      </w:r>
      <w:r w:rsidRPr="003B78EE">
        <w:rPr>
          <w:rFonts w:eastAsia="Times New Roman" w:cs="Arial"/>
          <w:i/>
          <w:szCs w:val="18"/>
        </w:rPr>
        <w:t xml:space="preserve"> permet aux agents </w:t>
      </w:r>
      <w:r w:rsidRPr="003B78EE">
        <w:rPr>
          <w:i/>
          <w:u w:color="0000FF"/>
        </w:rPr>
        <w:t>d’épargner des congés non pris durant l’année civile en cours, en vue d’une utilisation ultérieure</w:t>
      </w:r>
      <w:r w:rsidRPr="003B78EE">
        <w:rPr>
          <w:rFonts w:eastAsia="Times New Roman" w:cs="Arial"/>
          <w:i/>
          <w:szCs w:val="18"/>
        </w:rPr>
        <w:t xml:space="preserve"> dans les conditions définies par la présente délibération ;</w:t>
      </w:r>
    </w:p>
    <w:p w14:paraId="7E3D9916" w14:textId="77777777" w:rsidR="005A55FA" w:rsidRPr="008A3E42" w:rsidRDefault="005A55FA" w:rsidP="00121C06">
      <w:pPr>
        <w:rPr>
          <w:rFonts w:eastAsia="Times New Roman" w:cs="Arial"/>
          <w:color w:val="FF0000"/>
          <w:szCs w:val="18"/>
        </w:rPr>
      </w:pPr>
    </w:p>
    <w:p w14:paraId="1C26E0D3" w14:textId="77777777" w:rsidR="005A55FA" w:rsidRDefault="005A55FA" w:rsidP="00121C06">
      <w:pPr>
        <w:rPr>
          <w:rFonts w:eastAsia="Times New Roman" w:cs="Arial"/>
          <w:szCs w:val="18"/>
        </w:rPr>
      </w:pPr>
      <w:r w:rsidRPr="008A3E42">
        <w:rPr>
          <w:rFonts w:eastAsia="Times New Roman" w:cs="Arial"/>
          <w:szCs w:val="18"/>
        </w:rPr>
        <w:t>Considérant que l’instauration du compte épargne-temps est obligatoire dans les collectivités territoriales et dans leurs établissements publics et qu’il revient à l’organe délibérant de déterminer les règles d’ouverture, de fonctionnement, de gestion et de fermeture ainsi que les modalités d’utilisation des droits ;</w:t>
      </w:r>
    </w:p>
    <w:p w14:paraId="1A8BADA3" w14:textId="77777777" w:rsidR="001E0999" w:rsidRPr="008A3E42" w:rsidRDefault="001E0999" w:rsidP="00121C06">
      <w:pPr>
        <w:rPr>
          <w:rFonts w:eastAsia="Times New Roman" w:cs="Arial"/>
          <w:szCs w:val="18"/>
        </w:rPr>
      </w:pPr>
    </w:p>
    <w:p w14:paraId="7B90F56B" w14:textId="77777777" w:rsidR="004662FE" w:rsidRPr="004662FE" w:rsidRDefault="004662FE" w:rsidP="00121C06">
      <w:pPr>
        <w:rPr>
          <w:rFonts w:cs="Arial"/>
          <w:b/>
        </w:rPr>
      </w:pPr>
      <w:r w:rsidRPr="004662FE">
        <w:rPr>
          <w:rFonts w:cs="Arial"/>
          <w:b/>
        </w:rPr>
        <w:t xml:space="preserve">Le conseil municipal </w:t>
      </w:r>
      <w:r w:rsidRPr="004662FE">
        <w:rPr>
          <w:rFonts w:cs="Arial"/>
          <w:b/>
          <w:i/>
          <w:color w:val="86C0C9" w:themeColor="accent3"/>
        </w:rPr>
        <w:t xml:space="preserve">(ou conseil syndical, conseil communautaire, conseil d’administration…), </w:t>
      </w:r>
      <w:r>
        <w:rPr>
          <w:rFonts w:cs="Arial"/>
          <w:b/>
        </w:rPr>
        <w:t>après en avoir délibéré,</w:t>
      </w:r>
    </w:p>
    <w:p w14:paraId="0323F459" w14:textId="77777777" w:rsidR="00121C06" w:rsidRDefault="00121C06" w:rsidP="00121C06">
      <w:pPr>
        <w:jc w:val="center"/>
        <w:rPr>
          <w:rFonts w:cs="Arial"/>
          <w:b/>
        </w:rPr>
      </w:pPr>
    </w:p>
    <w:p w14:paraId="1561B228" w14:textId="77777777" w:rsidR="001E0999" w:rsidRDefault="004662FE" w:rsidP="00121C06">
      <w:pPr>
        <w:pStyle w:val="Titre3"/>
      </w:pPr>
      <w:r w:rsidRPr="004662FE">
        <w:t>DECIDE</w:t>
      </w:r>
    </w:p>
    <w:p w14:paraId="5FFC685F" w14:textId="77777777" w:rsidR="004662FE" w:rsidRDefault="00721118" w:rsidP="00121C06">
      <w:pPr>
        <w:autoSpaceDE w:val="0"/>
        <w:autoSpaceDN w:val="0"/>
        <w:adjustRightInd w:val="0"/>
        <w:rPr>
          <w:rFonts w:cs="Arial"/>
          <w:b/>
          <w:color w:val="000000"/>
          <w:szCs w:val="20"/>
        </w:rPr>
      </w:pPr>
      <w:r>
        <w:rPr>
          <w:rFonts w:cs="Arial"/>
          <w:b/>
          <w:color w:val="000000"/>
          <w:szCs w:val="20"/>
          <w:u w:val="single"/>
        </w:rPr>
        <w:t>Article 1</w:t>
      </w:r>
      <w:r w:rsidRPr="00721118">
        <w:rPr>
          <w:rFonts w:cs="Arial"/>
          <w:b/>
          <w:color w:val="000000"/>
          <w:szCs w:val="20"/>
          <w:u w:val="single"/>
          <w:vertAlign w:val="superscript"/>
        </w:rPr>
        <w:t>er</w:t>
      </w:r>
      <w:r>
        <w:rPr>
          <w:rFonts w:cs="Arial"/>
          <w:b/>
          <w:color w:val="000000"/>
          <w:szCs w:val="20"/>
          <w:u w:val="single"/>
        </w:rPr>
        <w:t> </w:t>
      </w:r>
      <w:r>
        <w:rPr>
          <w:rFonts w:cs="Arial"/>
          <w:b/>
          <w:color w:val="000000"/>
          <w:szCs w:val="20"/>
        </w:rPr>
        <w:t>:</w:t>
      </w:r>
      <w:r w:rsidR="004662FE" w:rsidRPr="004662FE">
        <w:rPr>
          <w:rFonts w:cs="Arial"/>
          <w:b/>
          <w:color w:val="000000"/>
          <w:szCs w:val="20"/>
        </w:rPr>
        <w:t xml:space="preserve"> </w:t>
      </w:r>
    </w:p>
    <w:p w14:paraId="713CEC0F" w14:textId="77777777" w:rsidR="004662FE" w:rsidRPr="004662FE" w:rsidRDefault="004662FE" w:rsidP="00121C06">
      <w:pPr>
        <w:autoSpaceDE w:val="0"/>
        <w:autoSpaceDN w:val="0"/>
        <w:adjustRightInd w:val="0"/>
        <w:rPr>
          <w:rFonts w:cs="Arial"/>
          <w:b/>
          <w:color w:val="000000"/>
          <w:szCs w:val="20"/>
        </w:rPr>
      </w:pPr>
    </w:p>
    <w:p w14:paraId="4938FCB3" w14:textId="77777777" w:rsidR="004662FE" w:rsidRPr="004662FE" w:rsidRDefault="004662FE" w:rsidP="00121C06">
      <w:pPr>
        <w:autoSpaceDE w:val="0"/>
        <w:autoSpaceDN w:val="0"/>
        <w:adjustRightInd w:val="0"/>
        <w:rPr>
          <w:rFonts w:cs="Arial"/>
          <w:color w:val="000000"/>
          <w:szCs w:val="20"/>
        </w:rPr>
      </w:pPr>
      <w:r w:rsidRPr="004662FE">
        <w:rPr>
          <w:rFonts w:cs="Arial"/>
          <w:color w:val="000000"/>
          <w:szCs w:val="20"/>
        </w:rPr>
        <w:t xml:space="preserve">D'instituer le </w:t>
      </w:r>
      <w:r w:rsidR="00721118">
        <w:rPr>
          <w:rFonts w:cs="Arial"/>
          <w:color w:val="000000"/>
          <w:szCs w:val="20"/>
        </w:rPr>
        <w:t>compte épargne-</w:t>
      </w:r>
      <w:r w:rsidRPr="004662FE">
        <w:rPr>
          <w:rFonts w:cs="Arial"/>
          <w:color w:val="000000"/>
          <w:szCs w:val="20"/>
        </w:rPr>
        <w:t xml:space="preserve">temps au sein de … </w:t>
      </w:r>
      <w:r w:rsidRPr="00721118">
        <w:rPr>
          <w:rFonts w:cs="Arial"/>
          <w:b/>
          <w:i/>
          <w:color w:val="86C0C9" w:themeColor="accent3"/>
          <w:szCs w:val="20"/>
        </w:rPr>
        <w:t>(collectivité/établissement)</w:t>
      </w:r>
      <w:r w:rsidRPr="00721118">
        <w:rPr>
          <w:rFonts w:cs="Arial"/>
          <w:color w:val="86C0C9" w:themeColor="accent3"/>
          <w:szCs w:val="20"/>
        </w:rPr>
        <w:t xml:space="preserve"> </w:t>
      </w:r>
      <w:r w:rsidRPr="004662FE">
        <w:rPr>
          <w:rFonts w:cs="Arial"/>
          <w:color w:val="000000"/>
          <w:szCs w:val="20"/>
        </w:rPr>
        <w:t>et d'en fixer les modalités d'application de la façon suivante :</w:t>
      </w:r>
    </w:p>
    <w:p w14:paraId="2A43459B" w14:textId="77777777" w:rsidR="004662FE" w:rsidRPr="004662FE" w:rsidRDefault="004662FE" w:rsidP="00121C06">
      <w:pPr>
        <w:autoSpaceDE w:val="0"/>
        <w:autoSpaceDN w:val="0"/>
        <w:adjustRightInd w:val="0"/>
        <w:rPr>
          <w:rFonts w:cs="Arial"/>
          <w:color w:val="000000"/>
          <w:szCs w:val="20"/>
        </w:rPr>
      </w:pPr>
    </w:p>
    <w:p w14:paraId="71D21855" w14:textId="77777777" w:rsidR="00721118" w:rsidRPr="00721118" w:rsidRDefault="00721118" w:rsidP="00121C06">
      <w:pPr>
        <w:pStyle w:val="Titre1"/>
        <w:numPr>
          <w:ilvl w:val="0"/>
          <w:numId w:val="10"/>
        </w:numPr>
        <w:spacing w:before="0" w:after="0"/>
        <w:rPr>
          <w:rFonts w:eastAsiaTheme="minorHAnsi"/>
          <w:bCs w:val="0"/>
          <w:color w:val="000000"/>
          <w:kern w:val="0"/>
          <w:sz w:val="20"/>
          <w:szCs w:val="20"/>
          <w:u w:val="single"/>
          <w:lang w:eastAsia="en-US"/>
        </w:rPr>
      </w:pPr>
      <w:bookmarkStart w:id="0" w:name="_Toc263665136"/>
      <w:bookmarkStart w:id="1" w:name="_Toc263429093"/>
      <w:r w:rsidRPr="00721118">
        <w:rPr>
          <w:rFonts w:eastAsiaTheme="minorHAnsi"/>
          <w:bCs w:val="0"/>
          <w:color w:val="000000"/>
          <w:kern w:val="0"/>
          <w:sz w:val="20"/>
          <w:szCs w:val="20"/>
          <w:u w:val="single"/>
          <w:lang w:eastAsia="en-US"/>
        </w:rPr>
        <w:t xml:space="preserve">Bénéficiaires du CET : </w:t>
      </w:r>
    </w:p>
    <w:p w14:paraId="23FC6A98" w14:textId="77777777" w:rsidR="00721118" w:rsidRDefault="00721118" w:rsidP="00121C06">
      <w:pPr>
        <w:ind w:right="-110"/>
        <w:rPr>
          <w:rFonts w:cs="Arial"/>
        </w:rPr>
      </w:pPr>
      <w:r>
        <w:rPr>
          <w:rFonts w:cs="Arial"/>
        </w:rPr>
        <w:t xml:space="preserve">Pour bénéficier d’un CET, l’agent doit réunir les conditions cumulatives suivantes : </w:t>
      </w:r>
    </w:p>
    <w:p w14:paraId="25920A7C" w14:textId="77777777" w:rsidR="00721118" w:rsidRDefault="00721118" w:rsidP="00121C06">
      <w:pPr>
        <w:pStyle w:val="Paragraphedeliste"/>
        <w:numPr>
          <w:ilvl w:val="0"/>
          <w:numId w:val="6"/>
        </w:numPr>
        <w:ind w:left="714" w:right="-110" w:hanging="357"/>
      </w:pPr>
      <w:r w:rsidRPr="005A55FA">
        <w:t>avoir la qualité de fonctionnaire titulaire ou d’agent contractuel de droit public</w:t>
      </w:r>
    </w:p>
    <w:p w14:paraId="6EA8F28A" w14:textId="77777777" w:rsidR="00721118" w:rsidRPr="005439C8" w:rsidRDefault="00721118" w:rsidP="00121C06">
      <w:pPr>
        <w:pStyle w:val="Paragraphedeliste"/>
        <w:numPr>
          <w:ilvl w:val="0"/>
          <w:numId w:val="6"/>
        </w:numPr>
        <w:ind w:left="714" w:right="-110" w:hanging="357"/>
      </w:pPr>
      <w:r w:rsidRPr="00995C1B">
        <w:rPr>
          <w:u w:color="0000FF"/>
        </w:rPr>
        <w:t>être employé à temps complet ou non complet et exerce</w:t>
      </w:r>
      <w:r>
        <w:rPr>
          <w:u w:color="0000FF"/>
        </w:rPr>
        <w:t>r</w:t>
      </w:r>
      <w:r w:rsidRPr="00995C1B">
        <w:rPr>
          <w:u w:color="0000FF"/>
        </w:rPr>
        <w:t xml:space="preserve"> ses fonctions à temps plein ou partiel au sein </w:t>
      </w:r>
      <w:r w:rsidRPr="0081191A">
        <w:rPr>
          <w:u w:color="0000FF"/>
        </w:rPr>
        <w:t xml:space="preserve">de la </w:t>
      </w:r>
      <w:r>
        <w:rPr>
          <w:u w:color="0000FF"/>
        </w:rPr>
        <w:t xml:space="preserve">commune </w:t>
      </w:r>
      <w:r w:rsidRPr="005439C8">
        <w:rPr>
          <w:b/>
          <w:i/>
          <w:color w:val="86C0C9" w:themeColor="accent3"/>
          <w:u w:color="0000FF"/>
        </w:rPr>
        <w:t>(ou de l’établissement)</w:t>
      </w:r>
    </w:p>
    <w:p w14:paraId="626D7A83" w14:textId="77777777" w:rsidR="00721118" w:rsidRPr="005A55FA" w:rsidRDefault="00721118" w:rsidP="00121C06">
      <w:pPr>
        <w:pStyle w:val="Paragraphedeliste"/>
        <w:numPr>
          <w:ilvl w:val="0"/>
          <w:numId w:val="6"/>
        </w:numPr>
        <w:ind w:left="714" w:hanging="357"/>
      </w:pPr>
      <w:r>
        <w:t xml:space="preserve">avoir été employé de manière continue au sein de la </w:t>
      </w:r>
      <w:r>
        <w:rPr>
          <w:u w:color="0000FF"/>
        </w:rPr>
        <w:t xml:space="preserve">commune </w:t>
      </w:r>
      <w:r w:rsidRPr="005439C8">
        <w:rPr>
          <w:b/>
          <w:i/>
          <w:color w:val="86C0C9" w:themeColor="accent3"/>
          <w:u w:color="0000FF"/>
        </w:rPr>
        <w:t>(ou de l’établissement)</w:t>
      </w:r>
      <w:r>
        <w:rPr>
          <w:b/>
          <w:i/>
          <w:color w:val="86C0C9" w:themeColor="accent3"/>
          <w:u w:color="0000FF"/>
        </w:rPr>
        <w:t xml:space="preserve"> </w:t>
      </w:r>
      <w:r>
        <w:t>et avoir accompli au moins une année de service au jour où il formule sa demande</w:t>
      </w:r>
    </w:p>
    <w:p w14:paraId="1D01E077" w14:textId="77777777" w:rsidR="00721118" w:rsidRPr="005A55FA" w:rsidRDefault="00721118" w:rsidP="00121C06">
      <w:pPr>
        <w:ind w:right="-108"/>
        <w:rPr>
          <w:rFonts w:cs="Arial"/>
          <w:bCs/>
        </w:rPr>
      </w:pPr>
      <w:r w:rsidRPr="005A55FA">
        <w:rPr>
          <w:rFonts w:cs="Arial"/>
          <w:bCs/>
        </w:rPr>
        <w:t>Ne peuvent pas bénéficier d’un compte épargne</w:t>
      </w:r>
      <w:r>
        <w:rPr>
          <w:rFonts w:cs="Arial"/>
          <w:bCs/>
        </w:rPr>
        <w:t>-</w:t>
      </w:r>
      <w:r w:rsidRPr="005A55FA">
        <w:rPr>
          <w:rFonts w:cs="Arial"/>
          <w:bCs/>
        </w:rPr>
        <w:t>temps :</w:t>
      </w:r>
    </w:p>
    <w:p w14:paraId="6C0CE5C8" w14:textId="77777777" w:rsidR="00721118" w:rsidRPr="005A55FA" w:rsidRDefault="00721118" w:rsidP="00121C06">
      <w:pPr>
        <w:numPr>
          <w:ilvl w:val="0"/>
          <w:numId w:val="4"/>
        </w:numPr>
        <w:ind w:left="714" w:right="-108" w:hanging="357"/>
        <w:rPr>
          <w:rFonts w:cs="Arial"/>
        </w:rPr>
      </w:pPr>
      <w:r w:rsidRPr="005A55FA">
        <w:rPr>
          <w:rFonts w:cs="Arial"/>
        </w:rPr>
        <w:t>les fonctionnaires stagiaires</w:t>
      </w:r>
    </w:p>
    <w:p w14:paraId="45D81E78" w14:textId="77777777" w:rsidR="00721118" w:rsidRPr="005A55FA" w:rsidRDefault="00721118" w:rsidP="00121C06">
      <w:pPr>
        <w:numPr>
          <w:ilvl w:val="0"/>
          <w:numId w:val="4"/>
        </w:numPr>
        <w:tabs>
          <w:tab w:val="num" w:pos="-360"/>
        </w:tabs>
        <w:ind w:left="714" w:right="-108" w:hanging="357"/>
        <w:rPr>
          <w:rFonts w:cs="Arial"/>
        </w:rPr>
      </w:pPr>
      <w:r w:rsidRPr="005A55FA">
        <w:rPr>
          <w:rFonts w:cs="Arial"/>
        </w:rPr>
        <w:t>les agents relevant du régim</w:t>
      </w:r>
      <w:r w:rsidR="00E63583">
        <w:rPr>
          <w:rFonts w:cs="Arial"/>
        </w:rPr>
        <w:t xml:space="preserve">e d’obligation de service défini </w:t>
      </w:r>
      <w:r w:rsidRPr="005A55FA">
        <w:rPr>
          <w:rFonts w:cs="Arial"/>
        </w:rPr>
        <w:t>dans les statuts particu</w:t>
      </w:r>
      <w:r>
        <w:rPr>
          <w:rFonts w:cs="Arial"/>
        </w:rPr>
        <w:t xml:space="preserve">liers de leur cadre d’emplois, dont </w:t>
      </w:r>
      <w:r w:rsidRPr="005A55FA">
        <w:rPr>
          <w:rFonts w:cs="Arial"/>
        </w:rPr>
        <w:t xml:space="preserve">notamment </w:t>
      </w:r>
      <w:r>
        <w:rPr>
          <w:rFonts w:cs="Arial"/>
        </w:rPr>
        <w:t>les</w:t>
      </w:r>
      <w:r w:rsidRPr="005A55FA">
        <w:rPr>
          <w:rFonts w:cs="Arial"/>
        </w:rPr>
        <w:t xml:space="preserve"> professeurs et des assistants d’enseignement artistique</w:t>
      </w:r>
    </w:p>
    <w:p w14:paraId="0F15C254" w14:textId="77777777" w:rsidR="00721118" w:rsidRDefault="00721118" w:rsidP="00121C06">
      <w:pPr>
        <w:numPr>
          <w:ilvl w:val="0"/>
          <w:numId w:val="4"/>
        </w:numPr>
        <w:tabs>
          <w:tab w:val="num" w:pos="-360"/>
        </w:tabs>
        <w:ind w:left="714" w:right="-108" w:hanging="357"/>
        <w:rPr>
          <w:rFonts w:cs="Arial"/>
        </w:rPr>
      </w:pPr>
      <w:r w:rsidRPr="005A55FA">
        <w:rPr>
          <w:rFonts w:cs="Arial"/>
        </w:rPr>
        <w:t xml:space="preserve">les agents </w:t>
      </w:r>
      <w:r>
        <w:rPr>
          <w:rFonts w:cs="Arial"/>
        </w:rPr>
        <w:t>contractuels de droit privé</w:t>
      </w:r>
    </w:p>
    <w:p w14:paraId="50CCD719" w14:textId="77777777" w:rsidR="00121C06" w:rsidRPr="00721118" w:rsidRDefault="00121C06" w:rsidP="00121C06">
      <w:pPr>
        <w:ind w:left="714" w:right="-108"/>
        <w:rPr>
          <w:rFonts w:cs="Arial"/>
        </w:rPr>
      </w:pPr>
    </w:p>
    <w:p w14:paraId="5D64B7F7" w14:textId="77777777" w:rsidR="00721118" w:rsidRPr="00721118" w:rsidRDefault="00721118" w:rsidP="00121C06">
      <w:pPr>
        <w:pStyle w:val="Titre1"/>
        <w:numPr>
          <w:ilvl w:val="0"/>
          <w:numId w:val="10"/>
        </w:numPr>
        <w:spacing w:before="0" w:after="0"/>
        <w:rPr>
          <w:rFonts w:eastAsiaTheme="minorHAnsi"/>
          <w:bCs w:val="0"/>
          <w:color w:val="000000"/>
          <w:kern w:val="0"/>
          <w:sz w:val="20"/>
          <w:szCs w:val="20"/>
          <w:u w:val="single"/>
          <w:lang w:eastAsia="en-US"/>
        </w:rPr>
      </w:pPr>
      <w:r>
        <w:rPr>
          <w:rFonts w:eastAsiaTheme="minorHAnsi"/>
          <w:bCs w:val="0"/>
          <w:color w:val="000000"/>
          <w:kern w:val="0"/>
          <w:sz w:val="20"/>
          <w:szCs w:val="20"/>
          <w:u w:val="single"/>
          <w:lang w:eastAsia="en-US"/>
        </w:rPr>
        <w:t>Ouverture</w:t>
      </w:r>
      <w:r w:rsidRPr="00721118">
        <w:rPr>
          <w:rFonts w:eastAsiaTheme="minorHAnsi"/>
          <w:bCs w:val="0"/>
          <w:color w:val="000000"/>
          <w:kern w:val="0"/>
          <w:sz w:val="20"/>
          <w:szCs w:val="20"/>
          <w:u w:val="single"/>
          <w:lang w:eastAsia="en-US"/>
        </w:rPr>
        <w:t xml:space="preserve"> du CET : </w:t>
      </w:r>
    </w:p>
    <w:p w14:paraId="7BF26F6B" w14:textId="77777777" w:rsidR="00721118" w:rsidRDefault="00721118" w:rsidP="00121C06">
      <w:pPr>
        <w:ind w:right="-110"/>
        <w:rPr>
          <w:rFonts w:eastAsia="Times New Roman" w:cs="Arial"/>
          <w:bCs/>
          <w:szCs w:val="18"/>
        </w:rPr>
      </w:pPr>
      <w:r>
        <w:rPr>
          <w:rFonts w:cs="Arial"/>
        </w:rPr>
        <w:t xml:space="preserve">Le CET </w:t>
      </w:r>
      <w:r w:rsidRPr="008A3E42">
        <w:rPr>
          <w:rFonts w:eastAsia="Times New Roman" w:cs="Arial"/>
          <w:bCs/>
          <w:szCs w:val="18"/>
        </w:rPr>
        <w:t xml:space="preserve">est ouvert </w:t>
      </w:r>
      <w:r>
        <w:rPr>
          <w:rFonts w:eastAsia="Times New Roman" w:cs="Arial"/>
          <w:bCs/>
          <w:szCs w:val="18"/>
        </w:rPr>
        <w:t xml:space="preserve">de plein droit </w:t>
      </w:r>
      <w:r w:rsidRPr="008A3E42">
        <w:rPr>
          <w:rFonts w:eastAsia="Times New Roman" w:cs="Arial"/>
          <w:bCs/>
          <w:szCs w:val="18"/>
        </w:rPr>
        <w:t xml:space="preserve">à la demande </w:t>
      </w:r>
      <w:r>
        <w:rPr>
          <w:rFonts w:eastAsia="Times New Roman" w:cs="Arial"/>
          <w:bCs/>
          <w:szCs w:val="18"/>
        </w:rPr>
        <w:t>expresse de l'agent, s’il</w:t>
      </w:r>
      <w:r w:rsidRPr="008A3E42">
        <w:rPr>
          <w:rFonts w:cs="Arial"/>
          <w:szCs w:val="18"/>
        </w:rPr>
        <w:t xml:space="preserve"> </w:t>
      </w:r>
      <w:r w:rsidRPr="008A3E42">
        <w:rPr>
          <w:rFonts w:eastAsia="Times New Roman" w:cs="Arial"/>
          <w:bCs/>
          <w:szCs w:val="18"/>
        </w:rPr>
        <w:t>remplit les conditions</w:t>
      </w:r>
      <w:r>
        <w:rPr>
          <w:rFonts w:eastAsia="Times New Roman" w:cs="Arial"/>
          <w:bCs/>
          <w:szCs w:val="18"/>
        </w:rPr>
        <w:t xml:space="preserve"> cumulatives pour en être bénéficiaire. </w:t>
      </w:r>
    </w:p>
    <w:p w14:paraId="1EA96345" w14:textId="77777777" w:rsidR="00721118" w:rsidRPr="005439C8" w:rsidRDefault="00721118" w:rsidP="00121C06">
      <w:pPr>
        <w:ind w:right="-110"/>
        <w:rPr>
          <w:rFonts w:cs="Arial"/>
        </w:rPr>
      </w:pPr>
      <w:r>
        <w:rPr>
          <w:rFonts w:eastAsia="Times New Roman" w:cs="Arial"/>
          <w:bCs/>
          <w:szCs w:val="18"/>
        </w:rPr>
        <w:t>L’ouverture de ce compte p</w:t>
      </w:r>
      <w:r w:rsidRPr="008A3E42">
        <w:rPr>
          <w:rFonts w:eastAsia="Times New Roman" w:cs="Arial"/>
          <w:bCs/>
          <w:kern w:val="32"/>
          <w:szCs w:val="18"/>
        </w:rPr>
        <w:t>eut être demandée à tout moment de l'année.</w:t>
      </w:r>
      <w:r>
        <w:rPr>
          <w:rFonts w:eastAsia="Times New Roman" w:cs="Arial"/>
          <w:bCs/>
          <w:kern w:val="32"/>
          <w:szCs w:val="18"/>
        </w:rPr>
        <w:t xml:space="preserve"> </w:t>
      </w:r>
    </w:p>
    <w:p w14:paraId="63520A3B" w14:textId="77777777" w:rsidR="00721118" w:rsidRDefault="00721118" w:rsidP="00121C06">
      <w:pPr>
        <w:ind w:right="-110"/>
        <w:rPr>
          <w:rFonts w:cs="Arial"/>
        </w:rPr>
      </w:pPr>
      <w:r>
        <w:rPr>
          <w:rFonts w:cs="Arial"/>
        </w:rPr>
        <w:t>Aucun agent</w:t>
      </w:r>
      <w:r w:rsidRPr="005A55FA">
        <w:rPr>
          <w:rFonts w:cs="Arial"/>
        </w:rPr>
        <w:t xml:space="preserve"> </w:t>
      </w:r>
      <w:r>
        <w:rPr>
          <w:rFonts w:cs="Arial"/>
        </w:rPr>
        <w:t>ne peut être</w:t>
      </w:r>
      <w:r w:rsidRPr="005A55FA">
        <w:rPr>
          <w:rFonts w:cs="Arial"/>
        </w:rPr>
        <w:t xml:space="preserve"> </w:t>
      </w:r>
      <w:r>
        <w:rPr>
          <w:rFonts w:cs="Arial"/>
        </w:rPr>
        <w:t>contraint</w:t>
      </w:r>
      <w:r w:rsidRPr="005A55FA">
        <w:rPr>
          <w:rFonts w:cs="Arial"/>
        </w:rPr>
        <w:t xml:space="preserve"> de demander </w:t>
      </w:r>
      <w:r>
        <w:rPr>
          <w:rFonts w:cs="Arial"/>
        </w:rPr>
        <w:t>le bénéfice de l’ouverture d’un CET</w:t>
      </w:r>
      <w:r w:rsidRPr="005A55FA">
        <w:rPr>
          <w:rFonts w:cs="Arial"/>
        </w:rPr>
        <w:t>.</w:t>
      </w:r>
    </w:p>
    <w:p w14:paraId="5D5F742A" w14:textId="77777777" w:rsidR="00121C06" w:rsidRPr="00721118" w:rsidRDefault="00121C06" w:rsidP="00121C06">
      <w:pPr>
        <w:ind w:right="-110"/>
        <w:rPr>
          <w:rFonts w:cs="Arial"/>
        </w:rPr>
      </w:pPr>
    </w:p>
    <w:p w14:paraId="31F85D54" w14:textId="77777777" w:rsidR="00721118" w:rsidRPr="00721118" w:rsidRDefault="00721118" w:rsidP="00121C06">
      <w:pPr>
        <w:pStyle w:val="Paragraphedeliste"/>
        <w:numPr>
          <w:ilvl w:val="0"/>
          <w:numId w:val="10"/>
        </w:numPr>
        <w:ind w:right="-108"/>
        <w:rPr>
          <w:b/>
          <w:u w:val="single"/>
        </w:rPr>
      </w:pPr>
      <w:r w:rsidRPr="00721118">
        <w:rPr>
          <w:b/>
          <w:u w:val="single"/>
        </w:rPr>
        <w:t>Garanties :</w:t>
      </w:r>
    </w:p>
    <w:p w14:paraId="202132D7" w14:textId="77777777" w:rsidR="00721118" w:rsidRPr="00721118" w:rsidRDefault="00721118" w:rsidP="00121C06">
      <w:pPr>
        <w:ind w:right="-110"/>
      </w:pPr>
      <w:r w:rsidRPr="00721118">
        <w:t xml:space="preserve">L’autorité territoriale peut refuser l’ouverture d’un CET si l’agent demandeur ne remplit pas les conditions pour y ouvrir droit. </w:t>
      </w:r>
      <w:r>
        <w:t>Cette</w:t>
      </w:r>
      <w:r w:rsidRPr="00721118">
        <w:t xml:space="preserve"> décision de refus d’ouverture du CET est toutefois motivée. </w:t>
      </w:r>
    </w:p>
    <w:p w14:paraId="34A814FC" w14:textId="77777777" w:rsidR="00721118" w:rsidRDefault="00721118" w:rsidP="00121C06">
      <w:pPr>
        <w:ind w:right="-110"/>
      </w:pPr>
      <w:r w:rsidRPr="00721118">
        <w:t>L’autorité territoriale</w:t>
      </w:r>
      <w:r w:rsidRPr="00721118">
        <w:rPr>
          <w:color w:val="C45911"/>
        </w:rPr>
        <w:t xml:space="preserve"> </w:t>
      </w:r>
      <w:r>
        <w:t>informe</w:t>
      </w:r>
      <w:r w:rsidRPr="00721118">
        <w:t xml:space="preserve"> annuellement les agents des droits épargnés et consommés au titre du CET. </w:t>
      </w:r>
    </w:p>
    <w:p w14:paraId="2F39C7D6" w14:textId="77777777" w:rsidR="00121C06" w:rsidRPr="00721118" w:rsidRDefault="00121C06" w:rsidP="00121C06">
      <w:pPr>
        <w:ind w:right="-110"/>
      </w:pPr>
    </w:p>
    <w:p w14:paraId="56B430BC" w14:textId="77777777" w:rsidR="004662FE" w:rsidRPr="004662FE" w:rsidRDefault="00721118" w:rsidP="00121C06">
      <w:pPr>
        <w:pStyle w:val="Titre1"/>
        <w:numPr>
          <w:ilvl w:val="0"/>
          <w:numId w:val="10"/>
        </w:numPr>
        <w:spacing w:before="0" w:after="0"/>
        <w:rPr>
          <w:rFonts w:eastAsiaTheme="minorHAnsi"/>
          <w:bCs w:val="0"/>
          <w:color w:val="000000"/>
          <w:kern w:val="0"/>
          <w:sz w:val="20"/>
          <w:szCs w:val="20"/>
          <w:lang w:eastAsia="en-US"/>
        </w:rPr>
      </w:pPr>
      <w:r>
        <w:rPr>
          <w:rFonts w:eastAsiaTheme="minorHAnsi"/>
          <w:bCs w:val="0"/>
          <w:color w:val="000000"/>
          <w:kern w:val="0"/>
          <w:sz w:val="20"/>
          <w:szCs w:val="20"/>
          <w:u w:val="single"/>
          <w:lang w:eastAsia="en-US"/>
        </w:rPr>
        <w:t>A</w:t>
      </w:r>
      <w:r w:rsidR="004662FE" w:rsidRPr="004662FE">
        <w:rPr>
          <w:rFonts w:eastAsiaTheme="minorHAnsi"/>
          <w:bCs w:val="0"/>
          <w:color w:val="000000"/>
          <w:kern w:val="0"/>
          <w:sz w:val="20"/>
          <w:szCs w:val="20"/>
          <w:u w:val="single"/>
          <w:lang w:eastAsia="en-US"/>
        </w:rPr>
        <w:t xml:space="preserve">limentation du </w:t>
      </w:r>
      <w:bookmarkEnd w:id="0"/>
      <w:bookmarkEnd w:id="1"/>
      <w:r w:rsidR="004662FE" w:rsidRPr="004662FE">
        <w:rPr>
          <w:rFonts w:eastAsiaTheme="minorHAnsi"/>
          <w:bCs w:val="0"/>
          <w:color w:val="000000"/>
          <w:kern w:val="0"/>
          <w:sz w:val="20"/>
          <w:szCs w:val="20"/>
          <w:u w:val="single"/>
          <w:lang w:eastAsia="en-US"/>
        </w:rPr>
        <w:t>CET</w:t>
      </w:r>
      <w:r w:rsidR="004662FE" w:rsidRPr="004662FE">
        <w:rPr>
          <w:rFonts w:eastAsiaTheme="minorHAnsi"/>
          <w:bCs w:val="0"/>
          <w:color w:val="000000"/>
          <w:kern w:val="0"/>
          <w:sz w:val="20"/>
          <w:szCs w:val="20"/>
          <w:lang w:eastAsia="en-US"/>
        </w:rPr>
        <w:t> :</w:t>
      </w:r>
    </w:p>
    <w:p w14:paraId="59BE8DE3" w14:textId="77777777" w:rsidR="00721118" w:rsidRPr="004662FE" w:rsidRDefault="00721118" w:rsidP="00121C06">
      <w:pPr>
        <w:rPr>
          <w:rFonts w:eastAsia="Times New Roman" w:cs="Arial"/>
          <w:szCs w:val="18"/>
        </w:rPr>
      </w:pPr>
      <w:r w:rsidRPr="005A55FA">
        <w:rPr>
          <w:rFonts w:cs="Arial"/>
        </w:rPr>
        <w:t xml:space="preserve">L’agent </w:t>
      </w:r>
      <w:r>
        <w:rPr>
          <w:rFonts w:cs="Arial"/>
        </w:rPr>
        <w:t>doit</w:t>
      </w:r>
      <w:r w:rsidRPr="005A55FA">
        <w:rPr>
          <w:rFonts w:cs="Arial"/>
        </w:rPr>
        <w:t xml:space="preserve"> faire parvenir la demande d’alimentation du CET au service gestionnaire au plus tard le </w:t>
      </w:r>
      <w:r>
        <w:rPr>
          <w:rFonts w:cs="Arial"/>
        </w:rPr>
        <w:t xml:space="preserve">31 décembre de l’année en cours. </w:t>
      </w:r>
    </w:p>
    <w:p w14:paraId="7E562563" w14:textId="77777777" w:rsidR="00721118" w:rsidRDefault="00721118" w:rsidP="00121C06">
      <w:pPr>
        <w:ind w:right="-110"/>
        <w:rPr>
          <w:rFonts w:cs="Arial"/>
        </w:rPr>
      </w:pPr>
      <w:r w:rsidRPr="005A55FA">
        <w:rPr>
          <w:rFonts w:cs="Arial"/>
        </w:rPr>
        <w:t xml:space="preserve">Le </w:t>
      </w:r>
      <w:r>
        <w:rPr>
          <w:rFonts w:cs="Arial"/>
        </w:rPr>
        <w:t>CET</w:t>
      </w:r>
      <w:r w:rsidRPr="005A55FA">
        <w:rPr>
          <w:rFonts w:cs="Arial"/>
        </w:rPr>
        <w:t xml:space="preserve"> est alimenté dans la limite d</w:t>
      </w:r>
      <w:r>
        <w:rPr>
          <w:rFonts w:cs="Arial"/>
        </w:rPr>
        <w:t>e soixante</w:t>
      </w:r>
      <w:r w:rsidRPr="005A55FA">
        <w:rPr>
          <w:rFonts w:cs="Arial"/>
        </w:rPr>
        <w:t xml:space="preserve"> jours. </w:t>
      </w:r>
    </w:p>
    <w:p w14:paraId="49E544B2" w14:textId="77777777" w:rsidR="003B78EE" w:rsidRPr="00712169" w:rsidRDefault="003B78EE" w:rsidP="00121C06">
      <w:pPr>
        <w:ind w:right="-110"/>
      </w:pPr>
      <w:r w:rsidRPr="00712169">
        <w:t>Par dérogation, le plafond global de jours pouvant être maintenus sur un compte-épargne temps au terme de l'année 2024 est fixé à soixante-dix jours ou, pour l'agent dont le nombre de jours épargnés au terme de l'année 2023 excède soixante jours, au nombre de jours épargnés augmenté de dix jours.</w:t>
      </w:r>
    </w:p>
    <w:p w14:paraId="7B8932B5" w14:textId="77777777" w:rsidR="003B78EE" w:rsidRPr="00712169" w:rsidRDefault="003B78EE" w:rsidP="00121C06">
      <w:pPr>
        <w:ind w:right="-110"/>
        <w:rPr>
          <w:rFonts w:cs="Arial"/>
        </w:rPr>
      </w:pPr>
      <w:r w:rsidRPr="00712169">
        <w:t xml:space="preserve">Les années suivantes, les jours ainsi épargnés excédant le plafond global des 60 jours prévus peuvent être maintenus sur le compte épargne-temps ou être consommés selon les modalités définies aux articles </w:t>
      </w:r>
      <w:hyperlink r:id="rId5" w:tooltip="Décret n°2004-878 du 26 août 2004 - art. 3-1 (V)" w:history="1">
        <w:r w:rsidRPr="00712169">
          <w:rPr>
            <w:rStyle w:val="Lienhypertexte"/>
            <w:color w:val="auto"/>
          </w:rPr>
          <w:t>3-1</w:t>
        </w:r>
      </w:hyperlink>
      <w:r w:rsidRPr="00712169">
        <w:t xml:space="preserve"> et </w:t>
      </w:r>
      <w:hyperlink r:id="rId6" w:tooltip="Décret n°2004-878 du 26 août 2004 - art. 5 (V)" w:history="1">
        <w:r w:rsidRPr="00712169">
          <w:rPr>
            <w:rStyle w:val="Lienhypertexte"/>
            <w:color w:val="auto"/>
          </w:rPr>
          <w:t>5</w:t>
        </w:r>
      </w:hyperlink>
      <w:r w:rsidRPr="00712169">
        <w:t xml:space="preserve"> du décret du 26 août 2004 susvisé.</w:t>
      </w:r>
    </w:p>
    <w:p w14:paraId="596B45FC" w14:textId="77777777" w:rsidR="003B78EE" w:rsidRDefault="003B78EE" w:rsidP="00121C06">
      <w:pPr>
        <w:ind w:right="-110"/>
        <w:rPr>
          <w:rFonts w:cs="Arial"/>
        </w:rPr>
      </w:pPr>
    </w:p>
    <w:p w14:paraId="0368B4AF" w14:textId="77777777" w:rsidR="00721118" w:rsidRDefault="00721118" w:rsidP="00121C06">
      <w:pPr>
        <w:ind w:right="-110"/>
        <w:rPr>
          <w:rFonts w:cs="Arial"/>
        </w:rPr>
      </w:pPr>
      <w:r w:rsidRPr="005A55FA">
        <w:rPr>
          <w:rFonts w:cs="Arial"/>
        </w:rPr>
        <w:lastRenderedPageBreak/>
        <w:t xml:space="preserve">L’alimentation peut se faire au moyen de congés annuels, de jours </w:t>
      </w:r>
      <w:r>
        <w:rPr>
          <w:rFonts w:cs="Arial"/>
        </w:rPr>
        <w:t>de récupération de temps de travail</w:t>
      </w:r>
      <w:r w:rsidRPr="005A55FA">
        <w:rPr>
          <w:rFonts w:cs="Arial"/>
        </w:rPr>
        <w:t xml:space="preserve"> </w:t>
      </w:r>
      <w:r w:rsidRPr="005A55FA">
        <w:rPr>
          <w:rFonts w:cs="Arial"/>
          <w:i/>
        </w:rPr>
        <w:t>(</w:t>
      </w:r>
      <w:r w:rsidRPr="001E0999">
        <w:rPr>
          <w:rFonts w:cs="Arial"/>
          <w:b/>
          <w:i/>
          <w:color w:val="86C0C9" w:themeColor="accent3"/>
        </w:rPr>
        <w:t>si concerné</w:t>
      </w:r>
      <w:r w:rsidRPr="005A55FA">
        <w:rPr>
          <w:rFonts w:cs="Arial"/>
          <w:i/>
        </w:rPr>
        <w:t>)</w:t>
      </w:r>
      <w:r w:rsidRPr="005A55FA">
        <w:rPr>
          <w:rFonts w:cs="Arial"/>
        </w:rPr>
        <w:t xml:space="preserve"> ou de jours de repos compensateurs </w:t>
      </w:r>
      <w:r w:rsidRPr="001E0999">
        <w:rPr>
          <w:rFonts w:cs="Arial"/>
          <w:b/>
          <w:i/>
          <w:color w:val="86C0C9" w:themeColor="accent3"/>
        </w:rPr>
        <w:t>(si l’organe délibérant le souhaite)</w:t>
      </w:r>
      <w:r w:rsidRPr="001E0999">
        <w:rPr>
          <w:rFonts w:cs="Arial"/>
          <w:color w:val="86C0C9" w:themeColor="accent3"/>
        </w:rPr>
        <w:t> </w:t>
      </w:r>
      <w:r w:rsidRPr="005A55FA">
        <w:rPr>
          <w:rFonts w:cs="Arial"/>
        </w:rPr>
        <w:t>:</w:t>
      </w:r>
    </w:p>
    <w:p w14:paraId="62E852C6" w14:textId="77777777" w:rsidR="003B78EE" w:rsidRPr="005A55FA" w:rsidRDefault="003B78EE" w:rsidP="00121C06">
      <w:pPr>
        <w:ind w:right="-110"/>
        <w:rPr>
          <w:rFonts w:cs="Arial"/>
        </w:rPr>
      </w:pPr>
    </w:p>
    <w:p w14:paraId="05BC4E6D" w14:textId="77777777" w:rsidR="00721118" w:rsidRPr="00721118" w:rsidRDefault="00721118" w:rsidP="00121C06">
      <w:pPr>
        <w:pStyle w:val="Paragraphedeliste"/>
        <w:numPr>
          <w:ilvl w:val="0"/>
          <w:numId w:val="11"/>
        </w:numPr>
        <w:ind w:right="-110"/>
        <w:rPr>
          <w:b/>
          <w:i/>
          <w:iCs/>
        </w:rPr>
      </w:pPr>
      <w:r w:rsidRPr="00721118">
        <w:rPr>
          <w:b/>
          <w:i/>
          <w:iCs/>
        </w:rPr>
        <w:t>Les congés annuels :</w:t>
      </w:r>
    </w:p>
    <w:p w14:paraId="24194C91" w14:textId="77777777" w:rsidR="00721118" w:rsidRPr="005A55FA" w:rsidRDefault="00721118" w:rsidP="00121C06">
      <w:pPr>
        <w:ind w:right="-110"/>
        <w:rPr>
          <w:rFonts w:cs="Arial"/>
        </w:rPr>
      </w:pPr>
      <w:r w:rsidRPr="005A55FA">
        <w:rPr>
          <w:rFonts w:cs="Arial"/>
          <w:iCs/>
        </w:rPr>
        <w:t>Les jours de congés annuels</w:t>
      </w:r>
      <w:r>
        <w:rPr>
          <w:rFonts w:cs="Arial"/>
          <w:iCs/>
        </w:rPr>
        <w:t>,</w:t>
      </w:r>
      <w:r w:rsidRPr="005A55FA">
        <w:rPr>
          <w:rFonts w:cs="Arial"/>
          <w:iCs/>
        </w:rPr>
        <w:t xml:space="preserve"> </w:t>
      </w:r>
      <w:r>
        <w:rPr>
          <w:rFonts w:cs="Arial"/>
          <w:iCs/>
        </w:rPr>
        <w:t>ainsi que</w:t>
      </w:r>
      <w:r w:rsidRPr="005A55FA">
        <w:rPr>
          <w:rFonts w:cs="Arial"/>
          <w:iCs/>
        </w:rPr>
        <w:t xml:space="preserve"> l</w:t>
      </w:r>
      <w:r w:rsidRPr="005A55FA">
        <w:rPr>
          <w:rFonts w:cs="Arial"/>
        </w:rPr>
        <w:t>es jours de fractionnement acquis au titre des jours de congés annuels pris hors de la période du 1</w:t>
      </w:r>
      <w:r w:rsidRPr="005A55FA">
        <w:rPr>
          <w:rFonts w:cs="Arial"/>
          <w:vertAlign w:val="superscript"/>
        </w:rPr>
        <w:t>er</w:t>
      </w:r>
      <w:r w:rsidRPr="005A55FA">
        <w:rPr>
          <w:rFonts w:cs="Arial"/>
        </w:rPr>
        <w:t xml:space="preserve"> mai au 31 octobre</w:t>
      </w:r>
      <w:r>
        <w:rPr>
          <w:rFonts w:cs="Arial"/>
        </w:rPr>
        <w:t>,</w:t>
      </w:r>
      <w:r w:rsidRPr="005A55FA">
        <w:rPr>
          <w:rFonts w:cs="Arial"/>
        </w:rPr>
        <w:t xml:space="preserve"> peuvent alimenter </w:t>
      </w:r>
      <w:r w:rsidR="00E63583">
        <w:rPr>
          <w:rFonts w:cs="Arial"/>
        </w:rPr>
        <w:t>CET</w:t>
      </w:r>
      <w:r w:rsidRPr="005A55FA">
        <w:rPr>
          <w:rFonts w:cs="Arial"/>
        </w:rPr>
        <w:t>.</w:t>
      </w:r>
    </w:p>
    <w:p w14:paraId="799B2D84" w14:textId="77777777" w:rsidR="00AD6E20" w:rsidRDefault="00721118" w:rsidP="00121C06">
      <w:pPr>
        <w:ind w:right="-110"/>
        <w:rPr>
          <w:rFonts w:cs="Arial"/>
        </w:rPr>
      </w:pPr>
      <w:r w:rsidRPr="005A55FA">
        <w:rPr>
          <w:rFonts w:cs="Arial"/>
        </w:rPr>
        <w:t xml:space="preserve">Le nombre des jours de congés annuels pris dans l’année par l’agent ne peut être inférieur à vingt. </w:t>
      </w:r>
      <w:r w:rsidR="00AD6E20">
        <w:rPr>
          <w:rFonts w:cs="Arial"/>
        </w:rPr>
        <w:t>Cette</w:t>
      </w:r>
      <w:r w:rsidR="00AD6E20" w:rsidRPr="005A55FA">
        <w:rPr>
          <w:rFonts w:cs="Arial"/>
        </w:rPr>
        <w:t xml:space="preserve"> d</w:t>
      </w:r>
      <w:r w:rsidR="00AD6E20">
        <w:rPr>
          <w:rFonts w:cs="Arial"/>
        </w:rPr>
        <w:t xml:space="preserve">urée minimale de congés annuels à prendre </w:t>
      </w:r>
      <w:r w:rsidR="00AD6E20" w:rsidRPr="005A55FA">
        <w:rPr>
          <w:rFonts w:cs="Arial"/>
        </w:rPr>
        <w:t xml:space="preserve">sont à proratiser en fonction de la quotité de travail </w:t>
      </w:r>
      <w:r w:rsidR="00AD6E20">
        <w:rPr>
          <w:rFonts w:cs="Arial"/>
        </w:rPr>
        <w:t>de l’agent à temps non complet ou à temps partiel</w:t>
      </w:r>
      <w:r w:rsidR="00AD6E20" w:rsidRPr="005A55FA">
        <w:rPr>
          <w:rFonts w:cs="Arial"/>
        </w:rPr>
        <w:t xml:space="preserve">. </w:t>
      </w:r>
      <w:r w:rsidRPr="005A55FA">
        <w:rPr>
          <w:rFonts w:cs="Arial"/>
        </w:rPr>
        <w:t>Les jours de congés annuels non pris au-delà de ce seuil peuvent être épargnés</w:t>
      </w:r>
      <w:r w:rsidR="00E63583">
        <w:rPr>
          <w:rFonts w:cs="Arial"/>
        </w:rPr>
        <w:t xml:space="preserve"> sur le CET</w:t>
      </w:r>
      <w:r w:rsidRPr="005A55FA">
        <w:rPr>
          <w:rFonts w:cs="Arial"/>
        </w:rPr>
        <w:t>.</w:t>
      </w:r>
      <w:r w:rsidR="00AD6E20">
        <w:rPr>
          <w:rFonts w:cs="Arial"/>
        </w:rPr>
        <w:t xml:space="preserve"> </w:t>
      </w:r>
    </w:p>
    <w:p w14:paraId="512E0ECC" w14:textId="77777777" w:rsidR="00721118" w:rsidRPr="005A55FA" w:rsidRDefault="00721118" w:rsidP="00121C06">
      <w:pPr>
        <w:ind w:right="-110"/>
        <w:rPr>
          <w:rFonts w:cs="Arial"/>
        </w:rPr>
      </w:pPr>
      <w:r w:rsidRPr="005A55FA">
        <w:rPr>
          <w:rFonts w:cs="Arial"/>
        </w:rPr>
        <w:t xml:space="preserve">Les jours de congés annuels qui ne sont pas pris dans l’année ni reportés sur l’année suivante et qui ne sont pas inscrits sur le </w:t>
      </w:r>
      <w:r w:rsidR="00E63583">
        <w:rPr>
          <w:rFonts w:cs="Arial"/>
        </w:rPr>
        <w:t>CET</w:t>
      </w:r>
      <w:r w:rsidRPr="005A55FA">
        <w:rPr>
          <w:rFonts w:cs="Arial"/>
        </w:rPr>
        <w:t xml:space="preserve"> sont </w:t>
      </w:r>
      <w:r>
        <w:rPr>
          <w:rFonts w:cs="Arial"/>
        </w:rPr>
        <w:t xml:space="preserve">définitivement </w:t>
      </w:r>
      <w:r w:rsidRPr="005A55FA">
        <w:rPr>
          <w:rFonts w:cs="Arial"/>
        </w:rPr>
        <w:t xml:space="preserve">perdus. </w:t>
      </w:r>
    </w:p>
    <w:p w14:paraId="6EFA8D09" w14:textId="77777777" w:rsidR="00721118" w:rsidRPr="00E63583" w:rsidRDefault="00721118" w:rsidP="00121C06">
      <w:pPr>
        <w:pStyle w:val="Paragraphedeliste"/>
        <w:numPr>
          <w:ilvl w:val="0"/>
          <w:numId w:val="11"/>
        </w:numPr>
        <w:ind w:right="-110"/>
        <w:rPr>
          <w:b/>
          <w:i/>
          <w:iCs/>
          <w:color w:val="86C0C9" w:themeColor="accent3"/>
        </w:rPr>
      </w:pPr>
      <w:r w:rsidRPr="00E63583">
        <w:rPr>
          <w:b/>
          <w:i/>
          <w:iCs/>
          <w:color w:val="86C0C9" w:themeColor="accent3"/>
        </w:rPr>
        <w:t>Les jours d’ARTT (si la collectivité a mis en place, après avis du CST, un régime de temps de travail impliquant l’octroi de jours de RTT aux agents) :</w:t>
      </w:r>
    </w:p>
    <w:p w14:paraId="1D0185D0" w14:textId="77777777" w:rsidR="00721118" w:rsidRPr="00E63583" w:rsidRDefault="00721118" w:rsidP="00121C06">
      <w:pPr>
        <w:pStyle w:val="Corpsdetexte"/>
      </w:pPr>
      <w:r w:rsidRPr="00E63583">
        <w:t xml:space="preserve">Les jours acquis au titre de l’aménagement et la réduction du temps de travail (ARTT) peuvent alimenter le CET, sans limitation du nombre de jours pouvant y être déposés. </w:t>
      </w:r>
    </w:p>
    <w:p w14:paraId="5E7733A2" w14:textId="77777777" w:rsidR="00721118" w:rsidRPr="00721118" w:rsidRDefault="00721118" w:rsidP="00121C06">
      <w:pPr>
        <w:pStyle w:val="Paragraphedeliste"/>
        <w:numPr>
          <w:ilvl w:val="0"/>
          <w:numId w:val="11"/>
        </w:numPr>
        <w:ind w:right="-110"/>
        <w:rPr>
          <w:b/>
          <w:i/>
          <w:iCs/>
          <w:color w:val="86C0C9" w:themeColor="accent3"/>
        </w:rPr>
      </w:pPr>
      <w:r w:rsidRPr="00721118">
        <w:rPr>
          <w:b/>
          <w:i/>
          <w:iCs/>
          <w:color w:val="86C0C9" w:themeColor="accent3"/>
        </w:rPr>
        <w:t xml:space="preserve">Les jours de repos compensateur </w:t>
      </w:r>
      <w:r w:rsidRPr="00721118">
        <w:rPr>
          <w:b/>
          <w:i/>
          <w:color w:val="86C0C9" w:themeColor="accent3"/>
        </w:rPr>
        <w:t>(si l’organe délibérant le souhaite)</w:t>
      </w:r>
      <w:r w:rsidRPr="00721118">
        <w:rPr>
          <w:b/>
          <w:i/>
          <w:iCs/>
          <w:color w:val="86C0C9" w:themeColor="accent3"/>
        </w:rPr>
        <w:t> :</w:t>
      </w:r>
    </w:p>
    <w:p w14:paraId="1E04BB19" w14:textId="77777777" w:rsidR="00721118" w:rsidRPr="00121C06" w:rsidRDefault="00721118" w:rsidP="00121C06">
      <w:pPr>
        <w:ind w:right="-110"/>
        <w:rPr>
          <w:rFonts w:cs="Arial"/>
          <w:color w:val="86C0C9" w:themeColor="accent3"/>
        </w:rPr>
      </w:pPr>
      <w:r w:rsidRPr="00121C06">
        <w:rPr>
          <w:rFonts w:cs="Arial"/>
          <w:color w:val="86C0C9" w:themeColor="accent3"/>
        </w:rPr>
        <w:t>Le CET peut être alimenté par une partie des jours de repos compensateur (sans toutefois que ce report puisse conduire à déroger aux garanties minimales de durée et d’amplitude du temps de travail).</w:t>
      </w:r>
    </w:p>
    <w:p w14:paraId="368A817A" w14:textId="50DF2FA8" w:rsidR="00721118" w:rsidRPr="00121C06" w:rsidRDefault="00721118" w:rsidP="00121C06">
      <w:pPr>
        <w:ind w:right="-110"/>
        <w:rPr>
          <w:rFonts w:cs="Arial"/>
          <w:color w:val="86C0C9" w:themeColor="accent3"/>
        </w:rPr>
      </w:pPr>
      <w:r w:rsidRPr="00121C06">
        <w:rPr>
          <w:rFonts w:cs="Arial"/>
          <w:color w:val="86C0C9" w:themeColor="accent3"/>
        </w:rPr>
        <w:t xml:space="preserve">Une heure </w:t>
      </w:r>
      <w:bookmarkStart w:id="2" w:name="_GoBack"/>
      <w:bookmarkEnd w:id="2"/>
      <w:r w:rsidRPr="00121C06">
        <w:rPr>
          <w:rFonts w:cs="Arial"/>
          <w:color w:val="86C0C9" w:themeColor="accent3"/>
        </w:rPr>
        <w:t>supplémentaire ne peut donner lieu à la fois à un repos compensateur et à une indemnisation, les heures ainsi indemnisées ne peuvent donc pas être épargnées sur le compte épargne temps.</w:t>
      </w:r>
    </w:p>
    <w:p w14:paraId="7A960586" w14:textId="77777777" w:rsidR="00721118" w:rsidRPr="00121C06" w:rsidRDefault="00721118" w:rsidP="00121C06">
      <w:pPr>
        <w:ind w:right="-110"/>
        <w:rPr>
          <w:rFonts w:cs="Arial"/>
          <w:color w:val="86C0C9" w:themeColor="accent3"/>
        </w:rPr>
      </w:pPr>
      <w:r w:rsidRPr="00121C06">
        <w:rPr>
          <w:rFonts w:cs="Arial"/>
          <w:color w:val="86C0C9" w:themeColor="accent3"/>
        </w:rPr>
        <w:t>Les repos compensateurs seront transformés en jours s’ils sont exprimés en heures, par référence à la durée moyenne quotidienne de travail et ne pourront être placés sur le compte que par journée complète acquise.</w:t>
      </w:r>
    </w:p>
    <w:p w14:paraId="685EEE92" w14:textId="77777777" w:rsidR="00AD6E20" w:rsidRDefault="00AD6E20" w:rsidP="00121C06">
      <w:pPr>
        <w:pStyle w:val="Titre1"/>
        <w:spacing w:before="0" w:after="0"/>
        <w:rPr>
          <w:rFonts w:eastAsiaTheme="minorHAnsi"/>
          <w:bCs w:val="0"/>
          <w:color w:val="000000"/>
          <w:kern w:val="0"/>
          <w:sz w:val="20"/>
          <w:szCs w:val="20"/>
          <w:lang w:eastAsia="en-US"/>
        </w:rPr>
      </w:pPr>
      <w:bookmarkStart w:id="3" w:name="_Toc263665141"/>
      <w:bookmarkStart w:id="4" w:name="_Toc263429097"/>
    </w:p>
    <w:p w14:paraId="1CF351D9" w14:textId="77777777" w:rsidR="003B78EE" w:rsidRPr="003B78EE" w:rsidRDefault="003B78EE" w:rsidP="003B78EE">
      <w:pPr>
        <w:rPr>
          <w:lang w:eastAsia="en-US"/>
        </w:rPr>
      </w:pPr>
    </w:p>
    <w:p w14:paraId="3D97C082" w14:textId="77777777" w:rsidR="004662FE" w:rsidRPr="004662FE" w:rsidRDefault="00721118" w:rsidP="00121C06">
      <w:pPr>
        <w:pStyle w:val="Titre1"/>
        <w:numPr>
          <w:ilvl w:val="0"/>
          <w:numId w:val="10"/>
        </w:numPr>
        <w:spacing w:before="0" w:after="0"/>
        <w:rPr>
          <w:rFonts w:eastAsiaTheme="minorHAnsi"/>
          <w:bCs w:val="0"/>
          <w:color w:val="000000"/>
          <w:kern w:val="0"/>
          <w:sz w:val="20"/>
          <w:szCs w:val="20"/>
          <w:lang w:eastAsia="en-US"/>
        </w:rPr>
      </w:pPr>
      <w:r>
        <w:rPr>
          <w:rFonts w:eastAsiaTheme="minorHAnsi"/>
          <w:bCs w:val="0"/>
          <w:color w:val="000000"/>
          <w:kern w:val="0"/>
          <w:sz w:val="20"/>
          <w:szCs w:val="20"/>
          <w:u w:val="single"/>
          <w:lang w:eastAsia="en-US"/>
        </w:rPr>
        <w:t>Modalités d</w:t>
      </w:r>
      <w:r w:rsidR="004662FE" w:rsidRPr="004662FE">
        <w:rPr>
          <w:rFonts w:eastAsiaTheme="minorHAnsi"/>
          <w:bCs w:val="0"/>
          <w:color w:val="000000"/>
          <w:kern w:val="0"/>
          <w:sz w:val="20"/>
          <w:szCs w:val="20"/>
          <w:u w:val="single"/>
          <w:lang w:eastAsia="en-US"/>
        </w:rPr>
        <w:t>’utilisation du CET</w:t>
      </w:r>
      <w:bookmarkEnd w:id="3"/>
      <w:bookmarkEnd w:id="4"/>
      <w:r w:rsidR="004662FE" w:rsidRPr="004662FE">
        <w:rPr>
          <w:rFonts w:eastAsiaTheme="minorHAnsi"/>
          <w:bCs w:val="0"/>
          <w:color w:val="000000"/>
          <w:kern w:val="0"/>
          <w:sz w:val="20"/>
          <w:szCs w:val="20"/>
          <w:lang w:eastAsia="en-US"/>
        </w:rPr>
        <w:t> :</w:t>
      </w:r>
    </w:p>
    <w:p w14:paraId="01C10A6E" w14:textId="77777777" w:rsidR="004662FE" w:rsidRDefault="004662FE" w:rsidP="00121C06">
      <w:pPr>
        <w:rPr>
          <w:rFonts w:cs="Arial"/>
          <w:color w:val="000000"/>
          <w:szCs w:val="20"/>
        </w:rPr>
      </w:pPr>
    </w:p>
    <w:p w14:paraId="65B9D136" w14:textId="77777777" w:rsidR="00E53E12" w:rsidRDefault="00E53E12" w:rsidP="00121C06">
      <w:pPr>
        <w:rPr>
          <w:rFonts w:cs="Arial"/>
          <w:color w:val="000000"/>
          <w:szCs w:val="18"/>
        </w:rPr>
      </w:pPr>
      <w:r w:rsidRPr="00E53E12">
        <w:rPr>
          <w:rFonts w:cs="Arial"/>
          <w:color w:val="000000"/>
          <w:szCs w:val="18"/>
        </w:rPr>
        <w:t xml:space="preserve">L’agent peut </w:t>
      </w:r>
      <w:r>
        <w:rPr>
          <w:rFonts w:cs="Arial"/>
          <w:color w:val="000000"/>
          <w:szCs w:val="18"/>
        </w:rPr>
        <w:t>utiliser</w:t>
      </w:r>
      <w:r w:rsidRPr="00E53E12">
        <w:rPr>
          <w:rFonts w:cs="Arial"/>
          <w:color w:val="000000"/>
          <w:szCs w:val="18"/>
        </w:rPr>
        <w:t xml:space="preserve"> les jours de congés épargnés sur son CET so</w:t>
      </w:r>
      <w:r>
        <w:rPr>
          <w:rFonts w:cs="Arial"/>
          <w:color w:val="000000"/>
          <w:szCs w:val="18"/>
        </w:rPr>
        <w:t>us forme de congés ordi</w:t>
      </w:r>
      <w:r w:rsidRPr="00E53E12">
        <w:rPr>
          <w:rFonts w:cs="Arial"/>
          <w:color w:val="000000"/>
          <w:szCs w:val="18"/>
        </w:rPr>
        <w:t>naires</w:t>
      </w:r>
      <w:r w:rsidR="00721118" w:rsidRPr="008A3E42">
        <w:rPr>
          <w:rFonts w:cs="Arial"/>
          <w:color w:val="000000"/>
          <w:szCs w:val="18"/>
        </w:rPr>
        <w:t xml:space="preserve">, sous réserve des nécessités du service. </w:t>
      </w:r>
      <w:r w:rsidR="00721118">
        <w:rPr>
          <w:rFonts w:cs="Arial"/>
        </w:rPr>
        <w:t>Tout refus opposé par l’autorité territoriale doit être motivé. En ce cas, l</w:t>
      </w:r>
      <w:r w:rsidR="00721118" w:rsidRPr="004662FE">
        <w:rPr>
          <w:rFonts w:cs="Arial"/>
        </w:rPr>
        <w:t xml:space="preserve">’agent peut former un recours devant sa </w:t>
      </w:r>
      <w:r w:rsidR="00721118">
        <w:rPr>
          <w:rFonts w:cs="Arial"/>
        </w:rPr>
        <w:t>collectivité</w:t>
      </w:r>
      <w:r w:rsidR="00721118" w:rsidRPr="004662FE">
        <w:rPr>
          <w:rFonts w:cs="Arial"/>
        </w:rPr>
        <w:t xml:space="preserve"> </w:t>
      </w:r>
      <w:r w:rsidR="00721118" w:rsidRPr="004662FE">
        <w:rPr>
          <w:rFonts w:cs="Arial"/>
          <w:b/>
          <w:i/>
          <w:color w:val="86C0C9" w:themeColor="accent3"/>
        </w:rPr>
        <w:t>(ou son établissement)</w:t>
      </w:r>
      <w:r w:rsidR="00721118" w:rsidRPr="004662FE">
        <w:rPr>
          <w:rFonts w:cs="Arial"/>
        </w:rPr>
        <w:t>, qui doit alors statuer après avoir consulté l’avis de la commission administrative ou consultative paritaire.</w:t>
      </w:r>
      <w:r>
        <w:rPr>
          <w:rFonts w:cs="Arial"/>
          <w:color w:val="000000"/>
          <w:szCs w:val="18"/>
        </w:rPr>
        <w:t xml:space="preserve"> </w:t>
      </w:r>
    </w:p>
    <w:p w14:paraId="249BE7C0" w14:textId="77777777" w:rsidR="00E53E12" w:rsidRDefault="00E53E12" w:rsidP="00121C06">
      <w:pPr>
        <w:rPr>
          <w:rFonts w:cs="Arial"/>
          <w:color w:val="000000"/>
          <w:szCs w:val="18"/>
        </w:rPr>
      </w:pPr>
    </w:p>
    <w:p w14:paraId="0C168725" w14:textId="77777777" w:rsidR="00721118" w:rsidRPr="00E53E12" w:rsidRDefault="00721118" w:rsidP="00121C06">
      <w:pPr>
        <w:rPr>
          <w:rFonts w:cs="Arial"/>
          <w:color w:val="000000"/>
          <w:szCs w:val="18"/>
        </w:rPr>
      </w:pPr>
      <w:r w:rsidRPr="008A3E42">
        <w:rPr>
          <w:rFonts w:eastAsia="Times New Roman" w:cs="Arial"/>
          <w:bCs/>
          <w:szCs w:val="18"/>
        </w:rPr>
        <w:t>Les congés pris</w:t>
      </w:r>
      <w:r w:rsidR="00E53E12">
        <w:rPr>
          <w:rFonts w:eastAsia="Times New Roman" w:cs="Arial"/>
          <w:bCs/>
          <w:szCs w:val="18"/>
        </w:rPr>
        <w:t xml:space="preserve"> sous forme de congés </w:t>
      </w:r>
      <w:r w:rsidR="00E53E12">
        <w:rPr>
          <w:rFonts w:cs="Arial"/>
          <w:color w:val="000000"/>
          <w:szCs w:val="18"/>
        </w:rPr>
        <w:t>ordi</w:t>
      </w:r>
      <w:r w:rsidR="00E53E12" w:rsidRPr="00E53E12">
        <w:rPr>
          <w:rFonts w:cs="Arial"/>
          <w:color w:val="000000"/>
          <w:szCs w:val="18"/>
        </w:rPr>
        <w:t>naires</w:t>
      </w:r>
      <w:r w:rsidR="00E53E12" w:rsidRPr="008A3E42">
        <w:rPr>
          <w:rFonts w:eastAsia="Times New Roman" w:cs="Arial"/>
          <w:bCs/>
          <w:szCs w:val="18"/>
        </w:rPr>
        <w:t xml:space="preserve"> </w:t>
      </w:r>
      <w:r w:rsidRPr="008A3E42">
        <w:rPr>
          <w:rFonts w:eastAsia="Times New Roman" w:cs="Arial"/>
          <w:bCs/>
          <w:szCs w:val="18"/>
        </w:rPr>
        <w:t xml:space="preserve">au titre du CET sont assimilés à une période d’activité et sont rémunérés en tant que tels. Pendant ces congés, l'agent conserve, notamment, ses droits à avancement et à retraite et le droit aux congés prévus </w:t>
      </w:r>
      <w:r>
        <w:rPr>
          <w:rFonts w:eastAsia="Times New Roman" w:cs="Arial"/>
          <w:bCs/>
          <w:szCs w:val="18"/>
        </w:rPr>
        <w:t>par le code général de la f</w:t>
      </w:r>
      <w:r w:rsidRPr="008A3E42">
        <w:rPr>
          <w:rFonts w:eastAsia="Times New Roman" w:cs="Arial"/>
          <w:bCs/>
          <w:szCs w:val="18"/>
        </w:rPr>
        <w:t>onct</w:t>
      </w:r>
      <w:r>
        <w:rPr>
          <w:rFonts w:eastAsia="Times New Roman" w:cs="Arial"/>
          <w:bCs/>
          <w:szCs w:val="18"/>
        </w:rPr>
        <w:t>ion p</w:t>
      </w:r>
      <w:r w:rsidRPr="008A3E42">
        <w:rPr>
          <w:rFonts w:eastAsia="Times New Roman" w:cs="Arial"/>
          <w:bCs/>
          <w:szCs w:val="18"/>
        </w:rPr>
        <w:t>ublique</w:t>
      </w:r>
      <w:r>
        <w:rPr>
          <w:rFonts w:eastAsia="Times New Roman" w:cs="Arial"/>
          <w:bCs/>
          <w:szCs w:val="18"/>
        </w:rPr>
        <w:t>.</w:t>
      </w:r>
      <w:r w:rsidR="00E53E12">
        <w:rPr>
          <w:rFonts w:cs="Arial"/>
          <w:color w:val="000000"/>
          <w:szCs w:val="18"/>
        </w:rPr>
        <w:t xml:space="preserve"> </w:t>
      </w:r>
      <w:r w:rsidR="00E53E12">
        <w:rPr>
          <w:rFonts w:eastAsia="Times New Roman" w:cs="Arial"/>
          <w:bCs/>
          <w:szCs w:val="18"/>
        </w:rPr>
        <w:t>C</w:t>
      </w:r>
      <w:r w:rsidRPr="008A3E42">
        <w:rPr>
          <w:rFonts w:eastAsia="Times New Roman" w:cs="Arial"/>
          <w:bCs/>
          <w:szCs w:val="18"/>
        </w:rPr>
        <w:t xml:space="preserve">es jours de congés pris au titre du CET, s’inscrivent dans le calendrier des congés annuels de la </w:t>
      </w:r>
      <w:r>
        <w:rPr>
          <w:rFonts w:eastAsia="Times New Roman" w:cs="Arial"/>
          <w:bCs/>
          <w:szCs w:val="18"/>
        </w:rPr>
        <w:t xml:space="preserve">commune </w:t>
      </w:r>
      <w:r w:rsidRPr="004662FE">
        <w:rPr>
          <w:rFonts w:eastAsia="Times New Roman" w:cs="Arial"/>
          <w:b/>
          <w:bCs/>
          <w:i/>
          <w:color w:val="86C0C9" w:themeColor="accent3"/>
          <w:szCs w:val="18"/>
        </w:rPr>
        <w:t>(ou de l’établissement</w:t>
      </w:r>
      <w:r>
        <w:rPr>
          <w:rFonts w:eastAsia="Times New Roman" w:cs="Arial"/>
          <w:bCs/>
          <w:szCs w:val="18"/>
        </w:rPr>
        <w:t>)</w:t>
      </w:r>
      <w:r w:rsidRPr="008A3E42">
        <w:rPr>
          <w:rFonts w:eastAsia="Times New Roman" w:cs="Arial"/>
          <w:bCs/>
          <w:szCs w:val="18"/>
        </w:rPr>
        <w:t xml:space="preserve">. Pour utiliser les jours épargnés, l’agent doit formuler une demande de congés auprès de l’autorité territoriale. </w:t>
      </w:r>
    </w:p>
    <w:p w14:paraId="574B5A7A" w14:textId="77777777" w:rsidR="00E53E12" w:rsidRDefault="00E53E12" w:rsidP="00121C06">
      <w:pPr>
        <w:rPr>
          <w:rFonts w:eastAsia="Times New Roman" w:cs="Arial"/>
          <w:bCs/>
          <w:szCs w:val="18"/>
        </w:rPr>
      </w:pPr>
    </w:p>
    <w:p w14:paraId="00DAD177" w14:textId="77777777" w:rsidR="00E53E12" w:rsidRPr="00AD6E20" w:rsidRDefault="00E53E12" w:rsidP="00121C06">
      <w:pPr>
        <w:rPr>
          <w:rFonts w:cs="Arial"/>
          <w:color w:val="000000"/>
          <w:szCs w:val="18"/>
        </w:rPr>
      </w:pPr>
      <w:r w:rsidRPr="008A3E42">
        <w:rPr>
          <w:rFonts w:cs="Arial"/>
          <w:color w:val="000000"/>
          <w:szCs w:val="18"/>
        </w:rPr>
        <w:t xml:space="preserve">Les nécessités de service ne </w:t>
      </w:r>
      <w:r>
        <w:rPr>
          <w:rFonts w:cs="Arial"/>
          <w:color w:val="000000"/>
          <w:szCs w:val="18"/>
        </w:rPr>
        <w:t>peuvent</w:t>
      </w:r>
      <w:r w:rsidRPr="008A3E42">
        <w:rPr>
          <w:rFonts w:cs="Arial"/>
          <w:color w:val="000000"/>
          <w:szCs w:val="18"/>
        </w:rPr>
        <w:t xml:space="preserve"> être opposées à l’utilisation des jours épargnés à la cessation définitive de fonctions, ou si le congé est sollicité à la suite d’un congé maternité, d’adoption ou de paternité et d’accueil de l’enfant, d’un congé du proche aidant ou d’un congé de solidarité familiale.</w:t>
      </w:r>
    </w:p>
    <w:p w14:paraId="65A27F38" w14:textId="77777777" w:rsidR="00721118" w:rsidRPr="00721118" w:rsidRDefault="00721118" w:rsidP="00121C06">
      <w:pPr>
        <w:rPr>
          <w:rFonts w:cs="Arial"/>
          <w:color w:val="86C0C9" w:themeColor="accent3"/>
          <w:szCs w:val="20"/>
        </w:rPr>
      </w:pPr>
    </w:p>
    <w:p w14:paraId="25F78201" w14:textId="77777777" w:rsidR="004662FE" w:rsidRPr="00E53E12" w:rsidRDefault="004662FE" w:rsidP="00121C06">
      <w:pPr>
        <w:rPr>
          <w:rFonts w:cs="Arial"/>
          <w:b/>
          <w:i/>
          <w:color w:val="86C0C9" w:themeColor="accent3"/>
          <w:szCs w:val="20"/>
          <w:u w:val="single"/>
        </w:rPr>
      </w:pPr>
      <w:r w:rsidRPr="00E53E12">
        <w:rPr>
          <w:rFonts w:cs="Arial"/>
          <w:b/>
          <w:i/>
          <w:color w:val="86C0C9" w:themeColor="accent3"/>
          <w:szCs w:val="20"/>
          <w:u w:val="single"/>
        </w:rPr>
        <w:t>(Le cas échéant, pour les collectivités ayant décidé d’autoriser l’indemnisation et le placement en épargne retraite) :</w:t>
      </w:r>
    </w:p>
    <w:p w14:paraId="23432C91" w14:textId="77777777" w:rsidR="004662FE" w:rsidRPr="00721118" w:rsidRDefault="004662FE" w:rsidP="00121C06">
      <w:pPr>
        <w:rPr>
          <w:rFonts w:cs="Arial"/>
          <w:i/>
          <w:color w:val="86C0C9" w:themeColor="accent3"/>
          <w:szCs w:val="20"/>
        </w:rPr>
      </w:pPr>
    </w:p>
    <w:p w14:paraId="63118619" w14:textId="77777777" w:rsidR="004662FE" w:rsidRPr="00721118" w:rsidRDefault="004662FE" w:rsidP="00121C06">
      <w:pPr>
        <w:rPr>
          <w:rFonts w:cs="Arial"/>
          <w:i/>
          <w:color w:val="86C0C9" w:themeColor="accent3"/>
          <w:szCs w:val="20"/>
        </w:rPr>
      </w:pPr>
      <w:r w:rsidRPr="00721118">
        <w:rPr>
          <w:rFonts w:cs="Arial"/>
          <w:i/>
          <w:color w:val="86C0C9" w:themeColor="accent3"/>
          <w:szCs w:val="20"/>
        </w:rPr>
        <w:t xml:space="preserve">L’agent peut utiliser les jours excédant </w:t>
      </w:r>
      <w:r w:rsidR="00E53E12">
        <w:rPr>
          <w:rFonts w:cs="Arial"/>
          <w:i/>
          <w:color w:val="86C0C9" w:themeColor="accent3"/>
          <w:szCs w:val="20"/>
        </w:rPr>
        <w:t>les quinze premiers jours</w:t>
      </w:r>
      <w:r w:rsidRPr="00721118">
        <w:rPr>
          <w:rFonts w:cs="Arial"/>
          <w:i/>
          <w:color w:val="86C0C9" w:themeColor="accent3"/>
          <w:szCs w:val="20"/>
        </w:rPr>
        <w:t xml:space="preserve"> épargnés</w:t>
      </w:r>
      <w:r w:rsidR="00E53E12">
        <w:rPr>
          <w:rFonts w:cs="Arial"/>
          <w:i/>
          <w:color w:val="86C0C9" w:themeColor="accent3"/>
          <w:szCs w:val="20"/>
        </w:rPr>
        <w:t xml:space="preserve"> sur son CET</w:t>
      </w:r>
      <w:r w:rsidRPr="00721118">
        <w:rPr>
          <w:rFonts w:cs="Arial"/>
          <w:i/>
          <w:color w:val="86C0C9" w:themeColor="accent3"/>
          <w:szCs w:val="20"/>
        </w:rPr>
        <w:t>, en combinant notamment plusieurs options dans les proportions qu’il souhaite</w:t>
      </w:r>
      <w:r w:rsidR="00E53E12">
        <w:rPr>
          <w:rFonts w:cs="Arial"/>
          <w:i/>
          <w:color w:val="86C0C9" w:themeColor="accent3"/>
          <w:szCs w:val="20"/>
        </w:rPr>
        <w:t xml:space="preserve"> parmi celles qui suivent </w:t>
      </w:r>
      <w:r w:rsidRPr="00721118">
        <w:rPr>
          <w:rFonts w:cs="Arial"/>
          <w:i/>
          <w:color w:val="86C0C9" w:themeColor="accent3"/>
          <w:szCs w:val="20"/>
        </w:rPr>
        <w:t>:</w:t>
      </w:r>
    </w:p>
    <w:p w14:paraId="32525B9A" w14:textId="77777777" w:rsidR="004662FE" w:rsidRPr="00721118" w:rsidRDefault="00E53E12" w:rsidP="00121C06">
      <w:pPr>
        <w:pStyle w:val="Paragraphedeliste"/>
        <w:numPr>
          <w:ilvl w:val="0"/>
          <w:numId w:val="9"/>
        </w:numPr>
        <w:rPr>
          <w:i/>
          <w:color w:val="86C0C9" w:themeColor="accent3"/>
        </w:rPr>
      </w:pPr>
      <w:r>
        <w:rPr>
          <w:i/>
          <w:color w:val="86C0C9" w:themeColor="accent3"/>
        </w:rPr>
        <w:t>la</w:t>
      </w:r>
      <w:r w:rsidR="004662FE" w:rsidRPr="00721118">
        <w:rPr>
          <w:i/>
          <w:color w:val="86C0C9" w:themeColor="accent3"/>
        </w:rPr>
        <w:t xml:space="preserve"> prise en compte </w:t>
      </w:r>
      <w:r>
        <w:rPr>
          <w:i/>
          <w:color w:val="86C0C9" w:themeColor="accent3"/>
        </w:rPr>
        <w:t xml:space="preserve">de ces jours </w:t>
      </w:r>
      <w:r w:rsidR="004662FE" w:rsidRPr="00721118">
        <w:rPr>
          <w:i/>
          <w:color w:val="86C0C9" w:themeColor="accent3"/>
        </w:rPr>
        <w:t>au sein du régime de retraite additionnelle de la fonction publique (</w:t>
      </w:r>
      <w:r>
        <w:rPr>
          <w:i/>
          <w:color w:val="86C0C9" w:themeColor="accent3"/>
        </w:rPr>
        <w:t xml:space="preserve">RAFP - </w:t>
      </w:r>
      <w:r w:rsidR="004662FE" w:rsidRPr="00721118">
        <w:rPr>
          <w:i/>
          <w:color w:val="86C0C9" w:themeColor="accent3"/>
        </w:rPr>
        <w:t xml:space="preserve">uniquement pour les agents titulaires affiliés à la </w:t>
      </w:r>
      <w:r w:rsidR="00721118">
        <w:rPr>
          <w:i/>
          <w:color w:val="86C0C9" w:themeColor="accent3"/>
        </w:rPr>
        <w:t>CNRACL)</w:t>
      </w:r>
    </w:p>
    <w:p w14:paraId="1C90F9B7" w14:textId="77777777" w:rsidR="004662FE" w:rsidRPr="003B78EE" w:rsidRDefault="00E53E12" w:rsidP="00121C06">
      <w:pPr>
        <w:pStyle w:val="Paragraphedeliste"/>
        <w:numPr>
          <w:ilvl w:val="0"/>
          <w:numId w:val="9"/>
        </w:numPr>
        <w:rPr>
          <w:i/>
          <w:color w:val="86C0C9" w:themeColor="accent3"/>
        </w:rPr>
      </w:pPr>
      <w:r>
        <w:rPr>
          <w:i/>
          <w:color w:val="86C0C9" w:themeColor="accent3"/>
        </w:rPr>
        <w:t>l’</w:t>
      </w:r>
      <w:r w:rsidRPr="00721118">
        <w:rPr>
          <w:i/>
          <w:color w:val="86C0C9" w:themeColor="accent3"/>
        </w:rPr>
        <w:t>indemnisation</w:t>
      </w:r>
      <w:r w:rsidR="004662FE" w:rsidRPr="00721118">
        <w:rPr>
          <w:i/>
          <w:color w:val="86C0C9" w:themeColor="accent3"/>
        </w:rPr>
        <w:t xml:space="preserve"> </w:t>
      </w:r>
      <w:r>
        <w:rPr>
          <w:i/>
          <w:color w:val="86C0C9" w:themeColor="accent3"/>
        </w:rPr>
        <w:t xml:space="preserve">de ces jours selon </w:t>
      </w:r>
      <w:r w:rsidR="00721118">
        <w:rPr>
          <w:i/>
          <w:color w:val="86C0C9" w:themeColor="accent3"/>
        </w:rPr>
        <w:t>la règlementation en vigueur</w:t>
      </w:r>
      <w:r w:rsidR="00AD6E20">
        <w:rPr>
          <w:i/>
          <w:color w:val="86C0C9" w:themeColor="accent3"/>
        </w:rPr>
        <w:t> </w:t>
      </w:r>
      <w:r w:rsidR="00AD6E20" w:rsidRPr="003B78EE">
        <w:rPr>
          <w:i/>
          <w:color w:val="86C0C9" w:themeColor="accent3"/>
        </w:rPr>
        <w:t xml:space="preserve">: </w:t>
      </w:r>
      <w:r w:rsidR="003E5E18" w:rsidRPr="003B78EE">
        <w:rPr>
          <w:i/>
          <w:color w:val="86C0C9" w:themeColor="accent3"/>
        </w:rPr>
        <w:t>à compter du 1</w:t>
      </w:r>
      <w:r w:rsidR="003E5E18" w:rsidRPr="003B78EE">
        <w:rPr>
          <w:i/>
          <w:color w:val="86C0C9" w:themeColor="accent3"/>
          <w:vertAlign w:val="superscript"/>
        </w:rPr>
        <w:t>er</w:t>
      </w:r>
      <w:r w:rsidR="003E5E18" w:rsidRPr="003B78EE">
        <w:rPr>
          <w:i/>
          <w:color w:val="86C0C9" w:themeColor="accent3"/>
        </w:rPr>
        <w:t xml:space="preserve"> janvier 2024,</w:t>
      </w:r>
      <w:r w:rsidR="00AD6E20" w:rsidRPr="003B78EE">
        <w:rPr>
          <w:i/>
          <w:color w:val="86C0C9" w:themeColor="accent3"/>
        </w:rPr>
        <w:t xml:space="preserve"> </w:t>
      </w:r>
      <w:r w:rsidR="002F7037" w:rsidRPr="003B78EE">
        <w:rPr>
          <w:i/>
          <w:color w:val="86C0C9" w:themeColor="accent3"/>
        </w:rPr>
        <w:t>83</w:t>
      </w:r>
      <w:r w:rsidR="00AD6E20" w:rsidRPr="003B78EE">
        <w:rPr>
          <w:i/>
          <w:color w:val="86C0C9" w:themeColor="accent3"/>
        </w:rPr>
        <w:t xml:space="preserve"> € brut / jour pour un agent de la catégorie C, </w:t>
      </w:r>
      <w:r w:rsidR="002F7037" w:rsidRPr="003B78EE">
        <w:rPr>
          <w:i/>
          <w:color w:val="86C0C9" w:themeColor="accent3"/>
        </w:rPr>
        <w:t>100</w:t>
      </w:r>
      <w:r w:rsidR="00AD6E20" w:rsidRPr="003B78EE">
        <w:rPr>
          <w:i/>
          <w:color w:val="86C0C9" w:themeColor="accent3"/>
        </w:rPr>
        <w:t xml:space="preserve">€ brut / jour pour un agent de la catégorie B et </w:t>
      </w:r>
      <w:r w:rsidR="002F7037" w:rsidRPr="003B78EE">
        <w:rPr>
          <w:i/>
          <w:color w:val="86C0C9" w:themeColor="accent3"/>
        </w:rPr>
        <w:t>150</w:t>
      </w:r>
      <w:r w:rsidR="00AD6E20" w:rsidRPr="003B78EE">
        <w:rPr>
          <w:i/>
          <w:color w:val="86C0C9" w:themeColor="accent3"/>
        </w:rPr>
        <w:t xml:space="preserve"> € brut / jour pour un agent de la catégorie A</w:t>
      </w:r>
    </w:p>
    <w:p w14:paraId="00C8A1FF" w14:textId="77777777" w:rsidR="00E63583" w:rsidRDefault="00E63583" w:rsidP="00121C06">
      <w:pPr>
        <w:pStyle w:val="Paragraphedeliste"/>
        <w:numPr>
          <w:ilvl w:val="0"/>
          <w:numId w:val="9"/>
        </w:numPr>
        <w:rPr>
          <w:i/>
          <w:color w:val="86C0C9" w:themeColor="accent3"/>
        </w:rPr>
      </w:pPr>
      <w:r>
        <w:rPr>
          <w:i/>
          <w:color w:val="86C0C9" w:themeColor="accent3"/>
        </w:rPr>
        <w:t>le maintien des jours sur son CET</w:t>
      </w:r>
    </w:p>
    <w:p w14:paraId="2BFB762D" w14:textId="77777777" w:rsidR="00E63583" w:rsidRDefault="00E63583" w:rsidP="00121C06">
      <w:pPr>
        <w:pStyle w:val="Paragraphedeliste"/>
        <w:numPr>
          <w:ilvl w:val="0"/>
          <w:numId w:val="9"/>
        </w:numPr>
        <w:rPr>
          <w:i/>
          <w:color w:val="86C0C9" w:themeColor="accent3"/>
        </w:rPr>
      </w:pPr>
      <w:r>
        <w:rPr>
          <w:i/>
          <w:color w:val="86C0C9" w:themeColor="accent3"/>
        </w:rPr>
        <w:t>l’utilisation des jours sous forme de congé ordinaire</w:t>
      </w:r>
    </w:p>
    <w:p w14:paraId="68F15B36" w14:textId="77777777" w:rsidR="00E63583" w:rsidRPr="00AD6E20" w:rsidRDefault="00E63583" w:rsidP="00121C06">
      <w:pPr>
        <w:pStyle w:val="Paragraphedeliste"/>
        <w:numPr>
          <w:ilvl w:val="0"/>
          <w:numId w:val="0"/>
        </w:numPr>
        <w:ind w:left="720"/>
        <w:rPr>
          <w:i/>
          <w:color w:val="86C0C9" w:themeColor="accent3"/>
        </w:rPr>
      </w:pPr>
    </w:p>
    <w:p w14:paraId="0E451B2C" w14:textId="77777777" w:rsidR="004662FE" w:rsidRDefault="004662FE" w:rsidP="00121C06">
      <w:pPr>
        <w:rPr>
          <w:rFonts w:cs="Arial"/>
          <w:i/>
          <w:color w:val="86C0C9" w:themeColor="accent3"/>
          <w:szCs w:val="20"/>
        </w:rPr>
      </w:pPr>
      <w:r w:rsidRPr="00721118">
        <w:rPr>
          <w:rFonts w:cs="Arial"/>
          <w:i/>
          <w:color w:val="86C0C9" w:themeColor="accent3"/>
          <w:szCs w:val="20"/>
        </w:rPr>
        <w:t xml:space="preserve">L’agent doit faire part de son </w:t>
      </w:r>
      <w:r w:rsidR="00AD6E20" w:rsidRPr="00AD6E20">
        <w:rPr>
          <w:rFonts w:cs="Arial"/>
          <w:i/>
          <w:color w:val="86C0C9" w:themeColor="accent3"/>
          <w:szCs w:val="20"/>
        </w:rPr>
        <w:t>droit d’option à compter du seizième jour épargné</w:t>
      </w:r>
      <w:r w:rsidR="00AD6E20">
        <w:rPr>
          <w:rFonts w:cs="Arial"/>
          <w:i/>
          <w:color w:val="86C0C9" w:themeColor="accent3"/>
          <w:szCs w:val="20"/>
        </w:rPr>
        <w:t xml:space="preserve"> </w:t>
      </w:r>
      <w:r w:rsidRPr="00721118">
        <w:rPr>
          <w:rFonts w:cs="Arial"/>
          <w:i/>
          <w:color w:val="86C0C9" w:themeColor="accent3"/>
          <w:szCs w:val="20"/>
        </w:rPr>
        <w:t>au service gestionnaire du CET avant le 31 janvier de l’année suivante.</w:t>
      </w:r>
      <w:r w:rsidR="00AD6E20">
        <w:rPr>
          <w:rFonts w:cs="Arial"/>
          <w:i/>
          <w:color w:val="86C0C9" w:themeColor="accent3"/>
          <w:szCs w:val="20"/>
        </w:rPr>
        <w:t xml:space="preserve"> A défaut de choix formulé par l’agent : </w:t>
      </w:r>
    </w:p>
    <w:p w14:paraId="0C301C09" w14:textId="77777777" w:rsidR="00AD6E20" w:rsidRDefault="00AD6E20" w:rsidP="00121C06">
      <w:pPr>
        <w:pStyle w:val="Paragraphedeliste"/>
        <w:numPr>
          <w:ilvl w:val="0"/>
          <w:numId w:val="11"/>
        </w:numPr>
        <w:rPr>
          <w:i/>
          <w:color w:val="86C0C9" w:themeColor="accent3"/>
        </w:rPr>
      </w:pPr>
      <w:r>
        <w:rPr>
          <w:i/>
          <w:color w:val="86C0C9" w:themeColor="accent3"/>
        </w:rPr>
        <w:t>pour le fonctionnaire CN</w:t>
      </w:r>
      <w:r w:rsidR="001A7309">
        <w:rPr>
          <w:i/>
          <w:color w:val="86C0C9" w:themeColor="accent3"/>
        </w:rPr>
        <w:t>RA</w:t>
      </w:r>
      <w:r>
        <w:rPr>
          <w:i/>
          <w:color w:val="86C0C9" w:themeColor="accent3"/>
        </w:rPr>
        <w:t xml:space="preserve">CL : les jours concernés sont transformés en épargne retraite RAFP </w:t>
      </w:r>
    </w:p>
    <w:p w14:paraId="2CB04FD3" w14:textId="77777777" w:rsidR="004662FE" w:rsidRDefault="00AD6E20" w:rsidP="00121C06">
      <w:pPr>
        <w:pStyle w:val="Paragraphedeliste"/>
        <w:numPr>
          <w:ilvl w:val="0"/>
          <w:numId w:val="11"/>
        </w:numPr>
        <w:rPr>
          <w:i/>
          <w:color w:val="86C0C9" w:themeColor="accent3"/>
        </w:rPr>
      </w:pPr>
      <w:r>
        <w:rPr>
          <w:i/>
          <w:color w:val="86C0C9" w:themeColor="accent3"/>
        </w:rPr>
        <w:t xml:space="preserve">pour le fonctionnaire IRCANTEC ou </w:t>
      </w:r>
      <w:r w:rsidR="00E63583">
        <w:rPr>
          <w:i/>
          <w:color w:val="86C0C9" w:themeColor="accent3"/>
        </w:rPr>
        <w:t>le</w:t>
      </w:r>
      <w:r>
        <w:rPr>
          <w:i/>
          <w:color w:val="86C0C9" w:themeColor="accent3"/>
        </w:rPr>
        <w:t xml:space="preserve"> contra</w:t>
      </w:r>
      <w:r w:rsidRPr="00AD6E20">
        <w:rPr>
          <w:i/>
          <w:color w:val="86C0C9" w:themeColor="accent3"/>
        </w:rPr>
        <w:t>ctuel de droit public</w:t>
      </w:r>
      <w:r>
        <w:rPr>
          <w:i/>
          <w:color w:val="86C0C9" w:themeColor="accent3"/>
        </w:rPr>
        <w:t> : les jours concernés</w:t>
      </w:r>
      <w:r w:rsidRPr="00AD6E20">
        <w:rPr>
          <w:i/>
          <w:color w:val="86C0C9" w:themeColor="accent3"/>
        </w:rPr>
        <w:t xml:space="preserve"> sont inde</w:t>
      </w:r>
      <w:r w:rsidR="00E63583">
        <w:rPr>
          <w:i/>
          <w:color w:val="86C0C9" w:themeColor="accent3"/>
        </w:rPr>
        <w:t>mnisé</w:t>
      </w:r>
      <w:r w:rsidR="001A7309">
        <w:rPr>
          <w:i/>
          <w:color w:val="86C0C9" w:themeColor="accent3"/>
        </w:rPr>
        <w:t>s</w:t>
      </w:r>
    </w:p>
    <w:p w14:paraId="02F3213B" w14:textId="77777777" w:rsidR="00AD6E20" w:rsidRDefault="00AD6E20" w:rsidP="00121C06">
      <w:pPr>
        <w:pStyle w:val="Paragraphedeliste"/>
        <w:numPr>
          <w:ilvl w:val="0"/>
          <w:numId w:val="0"/>
        </w:numPr>
        <w:ind w:left="1068"/>
        <w:rPr>
          <w:i/>
          <w:color w:val="86C0C9" w:themeColor="accent3"/>
        </w:rPr>
      </w:pPr>
    </w:p>
    <w:p w14:paraId="444E842A" w14:textId="77777777" w:rsidR="003B78EE" w:rsidRPr="00721118" w:rsidRDefault="003B78EE" w:rsidP="00121C06">
      <w:pPr>
        <w:pStyle w:val="Paragraphedeliste"/>
        <w:numPr>
          <w:ilvl w:val="0"/>
          <w:numId w:val="0"/>
        </w:numPr>
        <w:ind w:left="1068"/>
        <w:rPr>
          <w:i/>
          <w:color w:val="86C0C9" w:themeColor="accent3"/>
        </w:rPr>
      </w:pPr>
    </w:p>
    <w:p w14:paraId="13310DCA" w14:textId="77777777" w:rsidR="00E53E12" w:rsidRPr="00E53E12" w:rsidRDefault="00E53E12" w:rsidP="00121C06">
      <w:pPr>
        <w:pStyle w:val="Paragraphedeliste"/>
        <w:numPr>
          <w:ilvl w:val="0"/>
          <w:numId w:val="10"/>
        </w:numPr>
        <w:rPr>
          <w:b/>
          <w:u w:val="single"/>
        </w:rPr>
      </w:pPr>
      <w:r w:rsidRPr="00E53E12">
        <w:rPr>
          <w:b/>
          <w:u w:val="single"/>
        </w:rPr>
        <w:t>Conséquences de la mobilité et fermeture du CET</w:t>
      </w:r>
    </w:p>
    <w:p w14:paraId="5BEAB049" w14:textId="77777777" w:rsidR="00AD6E20" w:rsidRPr="00AD6E20" w:rsidRDefault="00E53E12" w:rsidP="00121C06">
      <w:pPr>
        <w:ind w:right="-110"/>
        <w:rPr>
          <w:rFonts w:cs="Arial"/>
          <w:strike/>
          <w:color w:val="C45911"/>
        </w:rPr>
      </w:pPr>
      <w:r w:rsidRPr="005A55FA">
        <w:rPr>
          <w:rFonts w:cs="Arial"/>
        </w:rPr>
        <w:t xml:space="preserve">Lorsque le fonctionnaire change de collectivité ou d’établissement par voie de mutation, d’intégration directe ou de détachement, les droits sont ouverts et la gestion du compte est assurée par la collectivité ou l’établissement d’accueil. En cas de mobilité auprès d’une administration ou d’un établissement public relevant d’une autre fonction publique, l’agent conserve le bénéfice des droits aux congés acquis au titre de son CET, conformément aux règles </w:t>
      </w:r>
      <w:r w:rsidR="009C08E5">
        <w:rPr>
          <w:rFonts w:cs="Arial"/>
        </w:rPr>
        <w:t>applicables</w:t>
      </w:r>
      <w:r w:rsidRPr="005A55FA">
        <w:rPr>
          <w:rFonts w:cs="Arial"/>
        </w:rPr>
        <w:t xml:space="preserve"> dans cette administra</w:t>
      </w:r>
      <w:r w:rsidR="00E63583">
        <w:rPr>
          <w:rFonts w:cs="Arial"/>
        </w:rPr>
        <w:t xml:space="preserve">tion ou établissement d’accueil. </w:t>
      </w:r>
      <w:r w:rsidR="00AD6E20" w:rsidRPr="004662FE">
        <w:rPr>
          <w:rFonts w:cs="Arial"/>
          <w:color w:val="000000"/>
          <w:szCs w:val="20"/>
        </w:rPr>
        <w:t>L’autorité territoriale est autorisée à fixer, par convention signée entre deux employeurs, les modalités financières de transfert des droits accumulés par un agent qui change, par la voie d'une mutation ou d'un détachement, de collectivité ou d'établissement</w:t>
      </w:r>
    </w:p>
    <w:p w14:paraId="5579B94F" w14:textId="77777777" w:rsidR="00E53E12" w:rsidRPr="005A55FA" w:rsidRDefault="00E53E12" w:rsidP="00121C06">
      <w:pPr>
        <w:ind w:right="-110"/>
        <w:rPr>
          <w:rFonts w:cs="Arial"/>
        </w:rPr>
      </w:pPr>
      <w:r w:rsidRPr="005A55FA">
        <w:rPr>
          <w:rFonts w:cs="Arial"/>
        </w:rPr>
        <w:lastRenderedPageBreak/>
        <w:t xml:space="preserve">En cas de </w:t>
      </w:r>
      <w:r w:rsidRPr="005A55FA">
        <w:rPr>
          <w:rFonts w:cs="Arial"/>
          <w:bCs/>
        </w:rPr>
        <w:t>disponibilité ou de congé parental</w:t>
      </w:r>
      <w:r w:rsidRPr="005A55FA">
        <w:rPr>
          <w:rFonts w:cs="Arial"/>
        </w:rPr>
        <w:t xml:space="preserve">, l’agent conserve ses droits sans pouvoir les utiliser, sauf autorisation de l’administration d’origine. </w:t>
      </w:r>
    </w:p>
    <w:p w14:paraId="39C6EEE8" w14:textId="77777777" w:rsidR="00AD6E20" w:rsidRDefault="00AD6E20" w:rsidP="00121C06">
      <w:pPr>
        <w:ind w:right="-110"/>
        <w:rPr>
          <w:rFonts w:cs="Arial"/>
        </w:rPr>
      </w:pPr>
      <w:r w:rsidRPr="005A55FA">
        <w:rPr>
          <w:rFonts w:cs="Arial"/>
        </w:rPr>
        <w:t xml:space="preserve">En cas de mise à disposition auprès d’une organisation syndicale représentative, la collectivité ou l'établissement d’affectation assure l'ouverture des </w:t>
      </w:r>
      <w:r>
        <w:rPr>
          <w:rFonts w:cs="Arial"/>
        </w:rPr>
        <w:t>droits et la gestion du compte.</w:t>
      </w:r>
    </w:p>
    <w:p w14:paraId="1FC800A4" w14:textId="77777777" w:rsidR="00E53E12" w:rsidRPr="005A55FA" w:rsidRDefault="00E53E12" w:rsidP="00121C06">
      <w:pPr>
        <w:ind w:right="-110"/>
        <w:rPr>
          <w:rFonts w:cs="Arial"/>
          <w:strike/>
        </w:rPr>
      </w:pPr>
      <w:r w:rsidRPr="005A55FA">
        <w:rPr>
          <w:rFonts w:cs="Arial"/>
        </w:rPr>
        <w:t xml:space="preserve">Dans le cas de la </w:t>
      </w:r>
      <w:r w:rsidRPr="005A55FA">
        <w:rPr>
          <w:rFonts w:cs="Arial"/>
          <w:bCs/>
        </w:rPr>
        <w:t>mise à disposition</w:t>
      </w:r>
      <w:r w:rsidRPr="005A55FA">
        <w:rPr>
          <w:rFonts w:cs="Arial"/>
        </w:rPr>
        <w:t xml:space="preserve">, l’agent conserve ses droits sans pouvoir les utiliser, sauf autorisation de l’administration d’accueil. </w:t>
      </w:r>
    </w:p>
    <w:p w14:paraId="56CD5C8F" w14:textId="77777777" w:rsidR="004662FE" w:rsidRPr="00E63583" w:rsidRDefault="00E53E12" w:rsidP="00121C06">
      <w:pPr>
        <w:ind w:right="-110"/>
        <w:rPr>
          <w:rFonts w:cs="Arial"/>
        </w:rPr>
      </w:pPr>
      <w:r w:rsidRPr="005A55FA">
        <w:rPr>
          <w:rFonts w:cs="Arial"/>
        </w:rPr>
        <w:t xml:space="preserve">En cas de décès de l’agent, ses ayants droits peuvent prétendre à l’indemnisation forfaitaire des congés non pris au titre du </w:t>
      </w:r>
      <w:r>
        <w:rPr>
          <w:rFonts w:cs="Arial"/>
        </w:rPr>
        <w:t>CET</w:t>
      </w:r>
      <w:r w:rsidR="00E63583">
        <w:rPr>
          <w:rFonts w:cs="Arial"/>
        </w:rPr>
        <w:t>.</w:t>
      </w:r>
    </w:p>
    <w:p w14:paraId="1F64B0A5" w14:textId="77777777" w:rsidR="005A55FA" w:rsidRDefault="005A55FA" w:rsidP="00121C06">
      <w:pPr>
        <w:pStyle w:val="Paragraphedeliste"/>
        <w:numPr>
          <w:ilvl w:val="0"/>
          <w:numId w:val="0"/>
        </w:numPr>
        <w:autoSpaceDE w:val="0"/>
        <w:autoSpaceDN w:val="0"/>
        <w:ind w:left="720"/>
        <w:contextualSpacing w:val="0"/>
      </w:pPr>
    </w:p>
    <w:p w14:paraId="74D9637C" w14:textId="77777777" w:rsidR="00121C06" w:rsidRPr="005A55FA" w:rsidRDefault="00121C06" w:rsidP="00121C06">
      <w:pPr>
        <w:pStyle w:val="Paragraphedeliste"/>
        <w:numPr>
          <w:ilvl w:val="0"/>
          <w:numId w:val="0"/>
        </w:numPr>
        <w:autoSpaceDE w:val="0"/>
        <w:autoSpaceDN w:val="0"/>
        <w:ind w:left="720"/>
        <w:contextualSpacing w:val="0"/>
      </w:pPr>
    </w:p>
    <w:p w14:paraId="52CA7911" w14:textId="77777777" w:rsidR="005A55FA" w:rsidRPr="005A55FA" w:rsidRDefault="005A55FA" w:rsidP="00121C06">
      <w:pPr>
        <w:rPr>
          <w:rFonts w:eastAsia="Times New Roman" w:cs="Arial"/>
          <w:b/>
        </w:rPr>
      </w:pPr>
      <w:r w:rsidRPr="005A55FA">
        <w:rPr>
          <w:rFonts w:cs="Arial"/>
          <w:b/>
          <w:bCs/>
          <w:szCs w:val="20"/>
          <w:u w:val="single"/>
        </w:rPr>
        <w:t xml:space="preserve">Article </w:t>
      </w:r>
      <w:r w:rsidR="00E63583">
        <w:rPr>
          <w:rFonts w:cs="Arial"/>
          <w:b/>
          <w:bCs/>
          <w:szCs w:val="20"/>
          <w:u w:val="single"/>
        </w:rPr>
        <w:t>2</w:t>
      </w:r>
      <w:r w:rsidRPr="005A55FA">
        <w:rPr>
          <w:rFonts w:cs="Arial"/>
          <w:b/>
          <w:bCs/>
          <w:szCs w:val="20"/>
        </w:rPr>
        <w:t xml:space="preserve"> :</w:t>
      </w:r>
      <w:r w:rsidRPr="005A55FA">
        <w:rPr>
          <w:rFonts w:cs="Arial"/>
          <w:szCs w:val="20"/>
        </w:rPr>
        <w:t xml:space="preserve"> </w:t>
      </w:r>
    </w:p>
    <w:p w14:paraId="3C93661B" w14:textId="77777777" w:rsidR="00E63583" w:rsidRPr="004662FE" w:rsidRDefault="005A55FA" w:rsidP="00121C06">
      <w:pPr>
        <w:autoSpaceDE w:val="0"/>
        <w:autoSpaceDN w:val="0"/>
        <w:adjustRightInd w:val="0"/>
        <w:rPr>
          <w:rFonts w:cs="Arial"/>
          <w:color w:val="000000"/>
          <w:szCs w:val="20"/>
        </w:rPr>
      </w:pPr>
      <w:r w:rsidRPr="005A55FA">
        <w:rPr>
          <w:rFonts w:cs="Arial"/>
          <w:bCs/>
        </w:rPr>
        <w:t xml:space="preserve">Les dispositions de la présente délibération entreront en vigueur à </w:t>
      </w:r>
      <w:r w:rsidR="00E63583">
        <w:rPr>
          <w:rFonts w:cs="Arial"/>
          <w:bCs/>
        </w:rPr>
        <w:t>compter</w:t>
      </w:r>
      <w:r w:rsidRPr="005A55FA">
        <w:rPr>
          <w:rFonts w:cs="Arial"/>
          <w:bCs/>
        </w:rPr>
        <w:t xml:space="preserve"> du …. </w:t>
      </w:r>
      <w:r w:rsidRPr="00FC11E2">
        <w:rPr>
          <w:rFonts w:cs="Arial"/>
          <w:b/>
          <w:bCs/>
          <w:i/>
          <w:color w:val="86C0C9" w:themeColor="accent3"/>
        </w:rPr>
        <w:t>(ne pas prévoir d’entrée en vigueur rétroactive)</w:t>
      </w:r>
      <w:r w:rsidR="00E63583">
        <w:rPr>
          <w:rFonts w:cs="Arial"/>
          <w:b/>
          <w:bCs/>
          <w:i/>
          <w:color w:val="86C0C9" w:themeColor="accent3"/>
        </w:rPr>
        <w:t xml:space="preserve">, </w:t>
      </w:r>
      <w:r w:rsidR="00E63583" w:rsidRPr="004662FE">
        <w:rPr>
          <w:rFonts w:cs="Arial"/>
          <w:color w:val="000000"/>
          <w:szCs w:val="20"/>
        </w:rPr>
        <w:t>après transmission aux services de l’Etat</w:t>
      </w:r>
      <w:r w:rsidR="00E63583">
        <w:rPr>
          <w:rFonts w:cs="Arial"/>
          <w:color w:val="000000"/>
          <w:szCs w:val="20"/>
        </w:rPr>
        <w:t xml:space="preserve"> et publication et/ou notification.</w:t>
      </w:r>
    </w:p>
    <w:p w14:paraId="7DC0E6FB" w14:textId="77777777" w:rsidR="005A55FA" w:rsidRDefault="005A55FA" w:rsidP="00121C06">
      <w:pPr>
        <w:pStyle w:val="textecourant"/>
        <w:tabs>
          <w:tab w:val="left" w:pos="283"/>
        </w:tabs>
        <w:spacing w:before="0" w:line="240" w:lineRule="auto"/>
        <w:rPr>
          <w:sz w:val="20"/>
          <w:szCs w:val="20"/>
        </w:rPr>
      </w:pPr>
    </w:p>
    <w:p w14:paraId="6C6A2ED5" w14:textId="77777777" w:rsidR="00121C06" w:rsidRPr="005A55FA" w:rsidRDefault="00121C06" w:rsidP="00121C06">
      <w:pPr>
        <w:pStyle w:val="textecourant"/>
        <w:tabs>
          <w:tab w:val="left" w:pos="283"/>
        </w:tabs>
        <w:spacing w:before="0" w:line="240" w:lineRule="auto"/>
        <w:rPr>
          <w:sz w:val="20"/>
          <w:szCs w:val="20"/>
        </w:rPr>
      </w:pPr>
    </w:p>
    <w:p w14:paraId="409380C3" w14:textId="77777777" w:rsidR="005A55FA" w:rsidRPr="005A55FA" w:rsidRDefault="00E63583" w:rsidP="00121C06">
      <w:pPr>
        <w:pStyle w:val="textecourant"/>
        <w:tabs>
          <w:tab w:val="left" w:pos="283"/>
        </w:tabs>
        <w:spacing w:before="0" w:line="240" w:lineRule="auto"/>
        <w:rPr>
          <w:b/>
          <w:bCs/>
          <w:sz w:val="20"/>
          <w:szCs w:val="20"/>
          <w:u w:val="single"/>
        </w:rPr>
      </w:pPr>
      <w:r>
        <w:rPr>
          <w:b/>
          <w:sz w:val="20"/>
          <w:szCs w:val="20"/>
          <w:u w:val="single"/>
        </w:rPr>
        <w:t>Article 3</w:t>
      </w:r>
      <w:r w:rsidR="005A55FA" w:rsidRPr="005A55FA">
        <w:rPr>
          <w:b/>
          <w:sz w:val="20"/>
          <w:szCs w:val="20"/>
          <w:u w:val="single"/>
        </w:rPr>
        <w:t> :</w:t>
      </w:r>
      <w:r w:rsidR="005A55FA" w:rsidRPr="005A55FA">
        <w:rPr>
          <w:b/>
          <w:sz w:val="20"/>
          <w:szCs w:val="20"/>
        </w:rPr>
        <w:t xml:space="preserve"> </w:t>
      </w:r>
      <w:r w:rsidR="005A55FA" w:rsidRPr="005A55FA">
        <w:rPr>
          <w:b/>
          <w:bCs/>
          <w:sz w:val="20"/>
          <w:szCs w:val="20"/>
        </w:rPr>
        <w:t>Voies et délais de recours</w:t>
      </w:r>
      <w:r w:rsidR="005A55FA" w:rsidRPr="005A55FA">
        <w:rPr>
          <w:b/>
          <w:bCs/>
          <w:sz w:val="20"/>
          <w:szCs w:val="20"/>
          <w:u w:val="single"/>
        </w:rPr>
        <w:t xml:space="preserve"> </w:t>
      </w:r>
    </w:p>
    <w:p w14:paraId="75BF9B84" w14:textId="77777777" w:rsidR="005A55FA" w:rsidRPr="005A55FA" w:rsidRDefault="005A55FA" w:rsidP="00121C06">
      <w:pPr>
        <w:pStyle w:val="textecourant"/>
        <w:tabs>
          <w:tab w:val="left" w:pos="283"/>
        </w:tabs>
        <w:spacing w:before="0" w:line="240" w:lineRule="auto"/>
        <w:rPr>
          <w:sz w:val="20"/>
          <w:szCs w:val="20"/>
        </w:rPr>
      </w:pPr>
      <w:r w:rsidRPr="005A55FA">
        <w:rPr>
          <w:sz w:val="20"/>
          <w:szCs w:val="20"/>
        </w:rPr>
        <w:t xml:space="preserve">Le Maire </w:t>
      </w:r>
      <w:r w:rsidRPr="00FC11E2">
        <w:rPr>
          <w:b/>
          <w:i/>
          <w:color w:val="86C0C9" w:themeColor="accent3"/>
          <w:sz w:val="20"/>
          <w:szCs w:val="20"/>
        </w:rPr>
        <w:t>(Président)</w:t>
      </w:r>
      <w:r w:rsidRPr="00FC11E2">
        <w:rPr>
          <w:b/>
          <w:color w:val="86C0C9" w:themeColor="accent3"/>
          <w:sz w:val="20"/>
          <w:szCs w:val="20"/>
        </w:rPr>
        <w:t xml:space="preserve"> </w:t>
      </w:r>
      <w:r w:rsidRPr="005A55FA">
        <w:rPr>
          <w:sz w:val="20"/>
          <w:szCs w:val="20"/>
        </w:rPr>
        <w:t>certifie sous sa responsabilité le caractère exécutoire de cet acte qui pourra faire l’objet d’un recours pour excès de pouvoir devant le tribunal administratif de Nantes dans un délai de deux mois à compter de sa transmission au représentant de l’Etat et de sa publication.</w:t>
      </w:r>
    </w:p>
    <w:p w14:paraId="52BE1F9F" w14:textId="77777777" w:rsidR="005A55FA" w:rsidRPr="005A55FA" w:rsidRDefault="005A55FA" w:rsidP="00121C06">
      <w:pPr>
        <w:pStyle w:val="textecourant"/>
        <w:tabs>
          <w:tab w:val="left" w:pos="283"/>
        </w:tabs>
        <w:spacing w:before="0" w:line="240" w:lineRule="auto"/>
        <w:rPr>
          <w:sz w:val="20"/>
          <w:szCs w:val="20"/>
        </w:rPr>
      </w:pPr>
    </w:p>
    <w:p w14:paraId="62CFFC96" w14:textId="77777777" w:rsidR="005A55FA" w:rsidRPr="005A55FA" w:rsidRDefault="005A55FA" w:rsidP="00121C06">
      <w:pPr>
        <w:pStyle w:val="textecourant"/>
        <w:tabs>
          <w:tab w:val="left" w:pos="283"/>
        </w:tabs>
        <w:spacing w:before="0" w:line="240" w:lineRule="auto"/>
        <w:rPr>
          <w:sz w:val="20"/>
          <w:szCs w:val="20"/>
        </w:rPr>
      </w:pPr>
    </w:p>
    <w:p w14:paraId="601A00EC" w14:textId="77777777" w:rsidR="005A55FA" w:rsidRPr="005A55FA" w:rsidRDefault="005A55FA" w:rsidP="00121C06">
      <w:pPr>
        <w:pStyle w:val="textecourant"/>
        <w:tabs>
          <w:tab w:val="left" w:pos="283"/>
          <w:tab w:val="left" w:pos="6237"/>
        </w:tabs>
        <w:spacing w:before="0" w:line="240" w:lineRule="auto"/>
        <w:ind w:firstLine="6237"/>
        <w:rPr>
          <w:sz w:val="20"/>
          <w:szCs w:val="20"/>
        </w:rPr>
      </w:pPr>
      <w:r w:rsidRPr="005A55FA">
        <w:rPr>
          <w:sz w:val="20"/>
          <w:szCs w:val="20"/>
        </w:rPr>
        <w:t xml:space="preserve">Fait à _______________________, </w:t>
      </w:r>
    </w:p>
    <w:p w14:paraId="60A2564B" w14:textId="77777777" w:rsidR="005A55FA" w:rsidRPr="005A55FA" w:rsidRDefault="005A55FA" w:rsidP="00121C06">
      <w:pPr>
        <w:pStyle w:val="textecourant"/>
        <w:tabs>
          <w:tab w:val="left" w:pos="283"/>
          <w:tab w:val="left" w:pos="6237"/>
        </w:tabs>
        <w:spacing w:before="0" w:line="240" w:lineRule="auto"/>
        <w:ind w:firstLine="6237"/>
        <w:rPr>
          <w:sz w:val="20"/>
          <w:szCs w:val="20"/>
        </w:rPr>
      </w:pPr>
      <w:r w:rsidRPr="005A55FA">
        <w:rPr>
          <w:sz w:val="20"/>
          <w:szCs w:val="20"/>
        </w:rPr>
        <w:t>le __________________</w:t>
      </w:r>
    </w:p>
    <w:p w14:paraId="4ED55F0D" w14:textId="77777777" w:rsidR="005A55FA" w:rsidRPr="005A55FA" w:rsidRDefault="005A55FA" w:rsidP="00121C06">
      <w:pPr>
        <w:pStyle w:val="textecourant"/>
        <w:tabs>
          <w:tab w:val="left" w:pos="283"/>
          <w:tab w:val="left" w:pos="6237"/>
        </w:tabs>
        <w:spacing w:before="0" w:line="240" w:lineRule="auto"/>
        <w:ind w:firstLine="6237"/>
        <w:rPr>
          <w:sz w:val="20"/>
          <w:szCs w:val="20"/>
        </w:rPr>
      </w:pPr>
    </w:p>
    <w:p w14:paraId="6AAC4D76" w14:textId="77777777" w:rsidR="005A55FA" w:rsidRPr="005A55FA" w:rsidRDefault="005A55FA" w:rsidP="00121C06">
      <w:pPr>
        <w:pStyle w:val="textecourant"/>
        <w:tabs>
          <w:tab w:val="left" w:pos="283"/>
          <w:tab w:val="left" w:pos="6237"/>
        </w:tabs>
        <w:spacing w:before="0" w:line="240" w:lineRule="auto"/>
        <w:ind w:firstLine="6237"/>
        <w:rPr>
          <w:sz w:val="20"/>
          <w:szCs w:val="20"/>
        </w:rPr>
      </w:pPr>
      <w:r w:rsidRPr="005A55FA">
        <w:rPr>
          <w:sz w:val="20"/>
          <w:szCs w:val="20"/>
        </w:rPr>
        <w:t>Le Maire</w:t>
      </w:r>
      <w:r w:rsidRPr="005A55FA">
        <w:rPr>
          <w:color w:val="FF2D21" w:themeColor="accent5"/>
          <w:sz w:val="20"/>
          <w:szCs w:val="20"/>
        </w:rPr>
        <w:t>,</w:t>
      </w:r>
      <w:r w:rsidRPr="005A55FA">
        <w:rPr>
          <w:color w:val="86C0C9" w:themeColor="accent3"/>
          <w:sz w:val="20"/>
          <w:szCs w:val="20"/>
        </w:rPr>
        <w:t xml:space="preserve"> </w:t>
      </w:r>
      <w:r w:rsidRPr="00FC11E2">
        <w:rPr>
          <w:b/>
          <w:i/>
          <w:color w:val="4DA0AD" w:themeColor="accent3" w:themeShade="BF"/>
          <w:sz w:val="20"/>
          <w:szCs w:val="20"/>
        </w:rPr>
        <w:t>(Le Président),</w:t>
      </w:r>
    </w:p>
    <w:p w14:paraId="6F249C9A" w14:textId="77777777" w:rsidR="005A55FA" w:rsidRPr="005A55FA" w:rsidRDefault="005A55FA" w:rsidP="00121C06">
      <w:pPr>
        <w:rPr>
          <w:rFonts w:cs="Arial"/>
          <w:i/>
          <w:color w:val="4DA0AD" w:themeColor="accent3" w:themeShade="BF"/>
          <w:szCs w:val="20"/>
        </w:rPr>
      </w:pPr>
      <w:r w:rsidRPr="005A55FA">
        <w:rPr>
          <w:rFonts w:cs="Arial"/>
          <w:noProof/>
          <w:szCs w:val="20"/>
        </w:rPr>
        <mc:AlternateContent>
          <mc:Choice Requires="wps">
            <w:drawing>
              <wp:anchor distT="0" distB="0" distL="114300" distR="114300" simplePos="0" relativeHeight="251659264" behindDoc="0" locked="0" layoutInCell="1" allowOverlap="1" wp14:anchorId="010A83D0" wp14:editId="0B6F84CD">
                <wp:simplePos x="0" y="0"/>
                <wp:positionH relativeFrom="column">
                  <wp:posOffset>-5080</wp:posOffset>
                </wp:positionH>
                <wp:positionV relativeFrom="paragraph">
                  <wp:posOffset>652145</wp:posOffset>
                </wp:positionV>
                <wp:extent cx="2971800" cy="122428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324B0" w14:textId="77777777" w:rsidR="005A55FA" w:rsidRPr="00E643CA" w:rsidRDefault="005A55FA" w:rsidP="005A55FA">
                            <w:pPr>
                              <w:rPr>
                                <w:rFonts w:cs="Arial"/>
                                <w:szCs w:val="20"/>
                              </w:rPr>
                            </w:pPr>
                            <w:r w:rsidRPr="00E643CA">
                              <w:rPr>
                                <w:rFonts w:cs="Arial"/>
                                <w:szCs w:val="20"/>
                              </w:rPr>
                              <w:t xml:space="preserve">Visa de la Préfecture : </w:t>
                            </w:r>
                          </w:p>
                          <w:p w14:paraId="71434DD9" w14:textId="77777777" w:rsidR="005A55FA" w:rsidRPr="00E643CA" w:rsidRDefault="005A55FA" w:rsidP="005A55FA">
                            <w:pPr>
                              <w:rPr>
                                <w:rFonts w:cs="Arial"/>
                                <w:szCs w:val="20"/>
                              </w:rPr>
                            </w:pPr>
                          </w:p>
                          <w:p w14:paraId="3E0E7CD6" w14:textId="77777777" w:rsidR="005A55FA" w:rsidRPr="00E643CA" w:rsidRDefault="005A55FA" w:rsidP="005A55FA">
                            <w:pPr>
                              <w:rPr>
                                <w:rFonts w:cs="Arial"/>
                                <w:szCs w:val="20"/>
                              </w:rPr>
                            </w:pPr>
                          </w:p>
                          <w:p w14:paraId="4CD7F316" w14:textId="77777777" w:rsidR="005A55FA" w:rsidRPr="00E643CA" w:rsidRDefault="005A55FA" w:rsidP="005A55FA">
                            <w:pPr>
                              <w:rPr>
                                <w:rFonts w:cs="Arial"/>
                                <w:szCs w:val="20"/>
                              </w:rPr>
                            </w:pPr>
                            <w:r w:rsidRPr="00E643CA">
                              <w:rPr>
                                <w:rFonts w:cs="Arial"/>
                                <w:szCs w:val="20"/>
                              </w:rPr>
                              <w:t>Délibération rendue exécutoire par publication et/ou notification à compter</w:t>
                            </w:r>
                            <w:r w:rsidRPr="00E643CA">
                              <w:rPr>
                                <w:rFonts w:cs="Arial"/>
                                <w:szCs w:val="20"/>
                              </w:rPr>
                              <w:br/>
                              <w:t>du …… /……. /………….</w:t>
                            </w:r>
                          </w:p>
                          <w:p w14:paraId="13956890" w14:textId="77777777" w:rsidR="005A55FA" w:rsidRDefault="005A55FA" w:rsidP="005A55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0A83D0" id="_x0000_t202" coordsize="21600,21600" o:spt="202" path="m,l,21600r21600,l21600,xe">
                <v:stroke joinstyle="miter"/>
                <v:path gradientshapeok="t" o:connecttype="rect"/>
              </v:shapetype>
              <v:shape id="Zone de texte 1" o:spid="_x0000_s1026" type="#_x0000_t202" style="position:absolute;left:0;text-align:left;margin-left:-.4pt;margin-top:51.35pt;width:234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" stroked="f">
                <v:textbox>
                  <w:txbxContent>
                    <w:p w14:paraId="3A2324B0" w14:textId="77777777" w:rsidR="005A55FA" w:rsidRPr="00E643CA" w:rsidRDefault="005A55FA" w:rsidP="005A55FA">
                      <w:pPr>
                        <w:rPr>
                          <w:rFonts w:cs="Arial"/>
                          <w:szCs w:val="20"/>
                        </w:rPr>
                      </w:pPr>
                      <w:r w:rsidRPr="00E643CA">
                        <w:rPr>
                          <w:rFonts w:cs="Arial"/>
                          <w:szCs w:val="20"/>
                        </w:rPr>
                        <w:t xml:space="preserve">Visa de la Préfecture : </w:t>
                      </w:r>
                    </w:p>
                    <w:p w14:paraId="71434DD9" w14:textId="77777777" w:rsidR="005A55FA" w:rsidRPr="00E643CA" w:rsidRDefault="005A55FA" w:rsidP="005A55FA">
                      <w:pPr>
                        <w:rPr>
                          <w:rFonts w:cs="Arial"/>
                          <w:szCs w:val="20"/>
                        </w:rPr>
                      </w:pPr>
                    </w:p>
                    <w:p w14:paraId="3E0E7CD6" w14:textId="77777777" w:rsidR="005A55FA" w:rsidRPr="00E643CA" w:rsidRDefault="005A55FA" w:rsidP="005A55FA">
                      <w:pPr>
                        <w:rPr>
                          <w:rFonts w:cs="Arial"/>
                          <w:szCs w:val="20"/>
                        </w:rPr>
                      </w:pPr>
                    </w:p>
                    <w:p w14:paraId="4CD7F316" w14:textId="77777777" w:rsidR="005A55FA" w:rsidRPr="00E643CA" w:rsidRDefault="005A55FA" w:rsidP="005A55FA">
                      <w:pPr>
                        <w:rPr>
                          <w:rFonts w:cs="Arial"/>
                          <w:szCs w:val="20"/>
                        </w:rPr>
                      </w:pPr>
                      <w:r w:rsidRPr="00E643CA">
                        <w:rPr>
                          <w:rFonts w:cs="Arial"/>
                          <w:szCs w:val="20"/>
                        </w:rPr>
                        <w:t>Délibération rendue exécutoire par publication et/ou notification à compter</w:t>
                      </w:r>
                      <w:r w:rsidRPr="00E643CA">
                        <w:rPr>
                          <w:rFonts w:cs="Arial"/>
                          <w:szCs w:val="20"/>
                        </w:rPr>
                        <w:br/>
                        <w:t>du …… /……. /………….</w:t>
                      </w:r>
                    </w:p>
                    <w:p w14:paraId="13956890" w14:textId="77777777" w:rsidR="005A55FA" w:rsidRDefault="005A55FA" w:rsidP="005A55FA"/>
                  </w:txbxContent>
                </v:textbox>
              </v:shape>
            </w:pict>
          </mc:Fallback>
        </mc:AlternateContent>
      </w:r>
    </w:p>
    <w:p w14:paraId="6A98BFFF" w14:textId="77777777" w:rsidR="001B3280" w:rsidRPr="005A55FA" w:rsidRDefault="001B3280" w:rsidP="00121C06">
      <w:pPr>
        <w:jc w:val="left"/>
        <w:rPr>
          <w:rFonts w:cs="Arial"/>
        </w:rPr>
      </w:pPr>
    </w:p>
    <w:sectPr w:rsidR="001B3280" w:rsidRPr="005A55FA" w:rsidSect="00397AA6">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Narrow">
    <w:altName w:val="Arial Narrow"/>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4ED9"/>
    <w:multiLevelType w:val="hybridMultilevel"/>
    <w:tmpl w:val="83D2AB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49038A"/>
    <w:multiLevelType w:val="hybridMultilevel"/>
    <w:tmpl w:val="01625ECE"/>
    <w:lvl w:ilvl="0" w:tplc="7C16B3D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6A082B"/>
    <w:multiLevelType w:val="hybridMultilevel"/>
    <w:tmpl w:val="1C900A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3B47C4"/>
    <w:multiLevelType w:val="hybridMultilevel"/>
    <w:tmpl w:val="E2F8F836"/>
    <w:lvl w:ilvl="0" w:tplc="53042B8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7C04BC"/>
    <w:multiLevelType w:val="hybridMultilevel"/>
    <w:tmpl w:val="CC22ED92"/>
    <w:lvl w:ilvl="0" w:tplc="0BDEA950">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000FC9"/>
    <w:multiLevelType w:val="hybridMultilevel"/>
    <w:tmpl w:val="6D747E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B90172"/>
    <w:multiLevelType w:val="hybridMultilevel"/>
    <w:tmpl w:val="EEDC1F00"/>
    <w:lvl w:ilvl="0" w:tplc="53042B8C">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6410110D"/>
    <w:multiLevelType w:val="hybridMultilevel"/>
    <w:tmpl w:val="EACC4BB8"/>
    <w:lvl w:ilvl="0" w:tplc="3740FFEE">
      <w:start w:val="1"/>
      <w:numFmt w:val="bullet"/>
      <w:lvlText w:val=""/>
      <w:lvlJc w:val="left"/>
      <w:pPr>
        <w:ind w:left="2136" w:hanging="360"/>
      </w:pPr>
      <w:rPr>
        <w:rFonts w:ascii="Wingdings" w:hAnsi="Wingdings" w:hint="default"/>
        <w:strike w:val="0"/>
        <w:color w:val="auto"/>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15:restartNumberingAfterBreak="0">
    <w:nsid w:val="6CA82D26"/>
    <w:multiLevelType w:val="hybridMultilevel"/>
    <w:tmpl w:val="08DEAB6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5"/>
  </w:num>
  <w:num w:numId="5">
    <w:abstractNumId w:val="8"/>
  </w:num>
  <w:num w:numId="6">
    <w:abstractNumId w:val="4"/>
  </w:num>
  <w:num w:numId="7">
    <w:abstractNumId w:val="9"/>
  </w:num>
  <w:num w:numId="8">
    <w:abstractNumId w:val="6"/>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FA"/>
    <w:rsid w:val="00121C06"/>
    <w:rsid w:val="001A7309"/>
    <w:rsid w:val="001B3280"/>
    <w:rsid w:val="001E0999"/>
    <w:rsid w:val="002F7037"/>
    <w:rsid w:val="003B78EE"/>
    <w:rsid w:val="003C29C1"/>
    <w:rsid w:val="003E5E18"/>
    <w:rsid w:val="004662FE"/>
    <w:rsid w:val="005439C8"/>
    <w:rsid w:val="005A55FA"/>
    <w:rsid w:val="00613774"/>
    <w:rsid w:val="00712169"/>
    <w:rsid w:val="00721118"/>
    <w:rsid w:val="00982E65"/>
    <w:rsid w:val="009C08E5"/>
    <w:rsid w:val="009E4171"/>
    <w:rsid w:val="00A0496E"/>
    <w:rsid w:val="00AD6E20"/>
    <w:rsid w:val="00C56531"/>
    <w:rsid w:val="00DC1AAE"/>
    <w:rsid w:val="00E53E12"/>
    <w:rsid w:val="00E63583"/>
    <w:rsid w:val="00EA32F6"/>
    <w:rsid w:val="00FC1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E78F"/>
  <w15:chartTrackingRefBased/>
  <w15:docId w15:val="{D84DC858-B3C6-40B5-8F5A-B9C9FBEA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5FA"/>
    <w:pPr>
      <w:spacing w:after="0" w:line="240" w:lineRule="auto"/>
      <w:jc w:val="both"/>
    </w:pPr>
    <w:rPr>
      <w:rFonts w:ascii="Arial" w:hAnsi="Arial"/>
      <w:sz w:val="20"/>
      <w:lang w:eastAsia="fr-FR"/>
    </w:rPr>
  </w:style>
  <w:style w:type="paragraph" w:styleId="Titre1">
    <w:name w:val="heading 1"/>
    <w:basedOn w:val="Normal"/>
    <w:next w:val="Normal"/>
    <w:link w:val="Titre1Car"/>
    <w:qFormat/>
    <w:rsid w:val="004662FE"/>
    <w:pPr>
      <w:keepNext/>
      <w:spacing w:before="240" w:after="60"/>
      <w:jc w:val="left"/>
      <w:outlineLvl w:val="0"/>
    </w:pPr>
    <w:rPr>
      <w:rFonts w:eastAsia="Times New Roman" w:cs="Arial"/>
      <w:b/>
      <w:bCs/>
      <w:kern w:val="32"/>
      <w:sz w:val="32"/>
      <w:szCs w:val="32"/>
    </w:rPr>
  </w:style>
  <w:style w:type="paragraph" w:styleId="Titre2">
    <w:name w:val="heading 2"/>
    <w:basedOn w:val="Normal"/>
    <w:next w:val="Normal"/>
    <w:link w:val="Titre2Car"/>
    <w:semiHidden/>
    <w:unhideWhenUsed/>
    <w:qFormat/>
    <w:rsid w:val="004662FE"/>
    <w:pPr>
      <w:keepNext/>
      <w:spacing w:before="240" w:after="60"/>
      <w:jc w:val="left"/>
      <w:outlineLvl w:val="1"/>
    </w:pPr>
    <w:rPr>
      <w:rFonts w:eastAsia="Times New Roman" w:cs="Arial"/>
      <w:b/>
      <w:bCs/>
      <w:i/>
      <w:iCs/>
      <w:sz w:val="28"/>
      <w:szCs w:val="28"/>
    </w:rPr>
  </w:style>
  <w:style w:type="paragraph" w:styleId="Titre3">
    <w:name w:val="heading 3"/>
    <w:basedOn w:val="Normal"/>
    <w:next w:val="Normal"/>
    <w:link w:val="Titre3Car"/>
    <w:uiPriority w:val="9"/>
    <w:unhideWhenUsed/>
    <w:qFormat/>
    <w:rsid w:val="00121C06"/>
    <w:pPr>
      <w:keepNext/>
      <w:jc w:val="center"/>
      <w:outlineLvl w:val="2"/>
    </w:pPr>
    <w:rPr>
      <w:rFonts w:cs="Arial"/>
      <w:b/>
    </w:rPr>
  </w:style>
  <w:style w:type="paragraph" w:styleId="Titre4">
    <w:name w:val="heading 4"/>
    <w:basedOn w:val="Normal"/>
    <w:next w:val="Normal"/>
    <w:link w:val="Titre4Car"/>
    <w:semiHidden/>
    <w:unhideWhenUsed/>
    <w:qFormat/>
    <w:rsid w:val="004662FE"/>
    <w:pPr>
      <w:keepNext/>
      <w:spacing w:before="240" w:after="60"/>
      <w:jc w:val="left"/>
      <w:outlineLvl w:val="3"/>
    </w:pPr>
    <w:rPr>
      <w:rFonts w:ascii="Times New Roman" w:eastAsia="Times New Roman" w:hAnsi="Times New Roman"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A55FA"/>
    <w:pPr>
      <w:spacing w:after="0" w:line="240" w:lineRule="auto"/>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
    <w:name w:val="texte courant"/>
    <w:basedOn w:val="Normal"/>
    <w:uiPriority w:val="99"/>
    <w:rsid w:val="005A55FA"/>
    <w:pPr>
      <w:suppressAutoHyphens/>
      <w:autoSpaceDE w:val="0"/>
      <w:autoSpaceDN w:val="0"/>
      <w:adjustRightInd w:val="0"/>
      <w:spacing w:before="113" w:line="220" w:lineRule="atLeast"/>
      <w:textAlignment w:val="center"/>
    </w:pPr>
    <w:rPr>
      <w:rFonts w:cs="Arial"/>
      <w:color w:val="000000"/>
      <w:sz w:val="18"/>
      <w:szCs w:val="18"/>
    </w:rPr>
  </w:style>
  <w:style w:type="character" w:styleId="Lienhypertexte">
    <w:name w:val="Hyperlink"/>
    <w:basedOn w:val="Policepardfaut"/>
    <w:uiPriority w:val="99"/>
    <w:semiHidden/>
    <w:unhideWhenUsed/>
    <w:rsid w:val="005A55FA"/>
    <w:rPr>
      <w:rFonts w:cs="Times New Roman"/>
      <w:color w:val="0000FF"/>
      <w:u w:val="single"/>
    </w:rPr>
  </w:style>
  <w:style w:type="paragraph" w:styleId="Paragraphedeliste">
    <w:name w:val="List Paragraph"/>
    <w:basedOn w:val="Normal"/>
    <w:uiPriority w:val="34"/>
    <w:qFormat/>
    <w:rsid w:val="005A55FA"/>
    <w:pPr>
      <w:numPr>
        <w:numId w:val="1"/>
      </w:numPr>
      <w:contextualSpacing/>
    </w:pPr>
    <w:rPr>
      <w:rFonts w:cs="Arial"/>
      <w:color w:val="000000"/>
      <w:szCs w:val="20"/>
    </w:rPr>
  </w:style>
  <w:style w:type="paragraph" w:customStyle="1" w:styleId="VuConsidrant">
    <w:name w:val="Vu.Considérant"/>
    <w:basedOn w:val="Normal"/>
    <w:rsid w:val="005A55FA"/>
    <w:pPr>
      <w:autoSpaceDE w:val="0"/>
      <w:autoSpaceDN w:val="0"/>
      <w:spacing w:after="140"/>
    </w:pPr>
    <w:rPr>
      <w:rFonts w:eastAsia="Times New Roman" w:cs="Arial"/>
      <w:szCs w:val="20"/>
    </w:rPr>
  </w:style>
  <w:style w:type="character" w:customStyle="1" w:styleId="Titre1Car">
    <w:name w:val="Titre 1 Car"/>
    <w:basedOn w:val="Policepardfaut"/>
    <w:link w:val="Titre1"/>
    <w:rsid w:val="004662FE"/>
    <w:rPr>
      <w:rFonts w:ascii="Arial" w:eastAsia="Times New Roman" w:hAnsi="Arial" w:cs="Arial"/>
      <w:b/>
      <w:bCs/>
      <w:kern w:val="32"/>
      <w:sz w:val="32"/>
      <w:szCs w:val="32"/>
      <w:lang w:eastAsia="fr-FR"/>
    </w:rPr>
  </w:style>
  <w:style w:type="character" w:customStyle="1" w:styleId="Titre2Car">
    <w:name w:val="Titre 2 Car"/>
    <w:basedOn w:val="Policepardfaut"/>
    <w:link w:val="Titre2"/>
    <w:semiHidden/>
    <w:rsid w:val="004662FE"/>
    <w:rPr>
      <w:rFonts w:ascii="Arial" w:eastAsia="Times New Roman" w:hAnsi="Arial" w:cs="Arial"/>
      <w:b/>
      <w:bCs/>
      <w:i/>
      <w:iCs/>
      <w:sz w:val="28"/>
      <w:szCs w:val="28"/>
      <w:lang w:eastAsia="fr-FR"/>
    </w:rPr>
  </w:style>
  <w:style w:type="character" w:customStyle="1" w:styleId="Titre4Car">
    <w:name w:val="Titre 4 Car"/>
    <w:basedOn w:val="Policepardfaut"/>
    <w:link w:val="Titre4"/>
    <w:semiHidden/>
    <w:rsid w:val="004662FE"/>
    <w:rPr>
      <w:rFonts w:ascii="Times New Roman" w:eastAsia="Times New Roman" w:hAnsi="Times New Roman" w:cs="Times New Roman"/>
      <w:b/>
      <w:bCs/>
      <w:sz w:val="28"/>
      <w:szCs w:val="28"/>
      <w:lang w:eastAsia="fr-FR"/>
    </w:rPr>
  </w:style>
  <w:style w:type="paragraph" w:customStyle="1" w:styleId="Texte">
    <w:name w:val="Texte"/>
    <w:basedOn w:val="Normal"/>
    <w:rsid w:val="004662FE"/>
    <w:pPr>
      <w:spacing w:before="160" w:after="160"/>
      <w:ind w:left="425"/>
    </w:pPr>
    <w:rPr>
      <w:rFonts w:ascii="Times New Roman" w:eastAsia="Times New Roman" w:hAnsi="Times New Roman" w:cs="Times New Roman"/>
      <w:sz w:val="22"/>
      <w:szCs w:val="24"/>
    </w:rPr>
  </w:style>
  <w:style w:type="paragraph" w:customStyle="1" w:styleId="Retrait1">
    <w:name w:val="Retrait 1"/>
    <w:basedOn w:val="Texte"/>
    <w:rsid w:val="004662FE"/>
    <w:pPr>
      <w:ind w:left="851" w:hanging="284"/>
    </w:pPr>
  </w:style>
  <w:style w:type="character" w:customStyle="1" w:styleId="Titre3Car">
    <w:name w:val="Titre 3 Car"/>
    <w:basedOn w:val="Policepardfaut"/>
    <w:link w:val="Titre3"/>
    <w:uiPriority w:val="9"/>
    <w:rsid w:val="00121C06"/>
    <w:rPr>
      <w:rFonts w:ascii="Arial" w:hAnsi="Arial" w:cs="Arial"/>
      <w:b/>
      <w:sz w:val="20"/>
      <w:lang w:eastAsia="fr-FR"/>
    </w:rPr>
  </w:style>
  <w:style w:type="paragraph" w:styleId="Corpsdetexte">
    <w:name w:val="Body Text"/>
    <w:basedOn w:val="Normal"/>
    <w:link w:val="CorpsdetexteCar"/>
    <w:uiPriority w:val="99"/>
    <w:unhideWhenUsed/>
    <w:rsid w:val="00121C06"/>
    <w:pPr>
      <w:ind w:right="-110"/>
    </w:pPr>
    <w:rPr>
      <w:rFonts w:cs="Arial"/>
      <w:color w:val="86C0C9" w:themeColor="accent3"/>
    </w:rPr>
  </w:style>
  <w:style w:type="character" w:customStyle="1" w:styleId="CorpsdetexteCar">
    <w:name w:val="Corps de texte Car"/>
    <w:basedOn w:val="Policepardfaut"/>
    <w:link w:val="Corpsdetexte"/>
    <w:uiPriority w:val="99"/>
    <w:rsid w:val="00121C06"/>
    <w:rPr>
      <w:rFonts w:ascii="Arial" w:hAnsi="Arial" w:cs="Arial"/>
      <w:color w:val="86C0C9" w:themeColor="accent3"/>
      <w:sz w:val="20"/>
      <w:lang w:eastAsia="fr-FR"/>
    </w:rPr>
  </w:style>
  <w:style w:type="paragraph" w:styleId="Corpsdetexte2">
    <w:name w:val="Body Text 2"/>
    <w:basedOn w:val="Normal"/>
    <w:link w:val="Corpsdetexte2Car"/>
    <w:uiPriority w:val="99"/>
    <w:unhideWhenUsed/>
    <w:rsid w:val="003B78EE"/>
    <w:rPr>
      <w:rFonts w:cs="Arial"/>
      <w:i/>
      <w:shd w:val="clear" w:color="auto" w:fill="FFFFFF"/>
    </w:rPr>
  </w:style>
  <w:style w:type="character" w:customStyle="1" w:styleId="Corpsdetexte2Car">
    <w:name w:val="Corps de texte 2 Car"/>
    <w:basedOn w:val="Policepardfaut"/>
    <w:link w:val="Corpsdetexte2"/>
    <w:uiPriority w:val="99"/>
    <w:rsid w:val="003B78EE"/>
    <w:rPr>
      <w:rFonts w:ascii="Arial" w:hAnsi="Arial" w:cs="Arial"/>
      <w:i/>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affichTexteArticle.do?cidTexte=JORFTEXT000000446192&amp;idArticle=JORFARTI000001284906&amp;categorieLien=cid" TargetMode="External"/><Relationship Id="rId5" Type="http://schemas.openxmlformats.org/officeDocument/2006/relationships/hyperlink" Target="https://www.legifrance.gouv.fr/affichTexteArticle.do?cidTexte=JORFTEXT000000446192&amp;idArticle=LEGIARTI000022257566&amp;dateTexte=&amp;categorieLien=cid"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1 CDG">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1689</Words>
  <Characters>9291</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Juriste</dc:creator>
  <cp:keywords/>
  <dc:description/>
  <cp:lastModifiedBy>Marie Bilheux</cp:lastModifiedBy>
  <cp:revision>3</cp:revision>
  <dcterms:created xsi:type="dcterms:W3CDTF">2024-08-01T07:57:00Z</dcterms:created>
  <dcterms:modified xsi:type="dcterms:W3CDTF">2024-08-01T07:58:00Z</dcterms:modified>
</cp:coreProperties>
</file>